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2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962"/>
      </w:tblGrid>
      <w:tr w:rsidR="00D02986" w14:paraId="1C7A606C" w14:textId="77777777" w:rsidTr="0011281C">
        <w:trPr>
          <w:trHeight w:val="1637"/>
        </w:trPr>
        <w:tc>
          <w:tcPr>
            <w:tcW w:w="3962" w:type="dxa"/>
            <w:vAlign w:val="center"/>
          </w:tcPr>
          <w:p w14:paraId="04C53477" w14:textId="0626D6FB" w:rsidR="0009386A" w:rsidRPr="0026051A" w:rsidRDefault="00F86CA7" w:rsidP="00DD00FC">
            <w:pPr>
              <w:spacing w:line="252" w:lineRule="auto"/>
              <w:ind w:left="-1" w:hanging="27"/>
              <w:jc w:val="center"/>
              <w:rPr>
                <w:rFonts w:ascii="Garamond" w:hAnsi="Garamond"/>
                <w:bCs/>
                <w:sz w:val="22"/>
                <w:szCs w:val="22"/>
              </w:rPr>
            </w:pPr>
            <w:r>
              <w:rPr>
                <w:rFonts w:ascii="Avenir Light" w:eastAsia="Cambria" w:hAnsi="Avenir Light"/>
                <w:i/>
                <w:iCs/>
                <w:color w:val="000000" w:themeColor="text1"/>
                <w:sz w:val="16"/>
                <w:szCs w:val="16"/>
              </w:rPr>
              <w:t>EN-TETE AVOCAT</w:t>
            </w:r>
          </w:p>
        </w:tc>
      </w:tr>
    </w:tbl>
    <w:p w14:paraId="26123389" w14:textId="77777777" w:rsidR="0037326E" w:rsidRPr="00EE78F6" w:rsidRDefault="0037326E" w:rsidP="00BE7AA8">
      <w:pPr>
        <w:spacing w:line="252" w:lineRule="auto"/>
        <w:rPr>
          <w:rFonts w:ascii="Garamond" w:hAnsi="Garamond"/>
          <w:b/>
          <w:bCs/>
          <w:sz w:val="32"/>
          <w:szCs w:val="32"/>
          <w:u w:val="single"/>
        </w:rPr>
      </w:pPr>
    </w:p>
    <w:p w14:paraId="234FDFD8" w14:textId="1FC2B550" w:rsidR="00403A39" w:rsidRDefault="00403A39" w:rsidP="003D6E2A">
      <w:pPr>
        <w:spacing w:line="252" w:lineRule="auto"/>
        <w:ind w:left="360" w:hanging="27"/>
        <w:jc w:val="center"/>
        <w:rPr>
          <w:rFonts w:ascii="Garamond" w:hAnsi="Garamond"/>
          <w:b/>
          <w:bCs/>
          <w:sz w:val="32"/>
          <w:szCs w:val="32"/>
          <w:u w:val="single"/>
        </w:rPr>
      </w:pPr>
    </w:p>
    <w:p w14:paraId="0BB27C42" w14:textId="77777777" w:rsidR="00C57560" w:rsidRDefault="00C57560" w:rsidP="00541346">
      <w:pPr>
        <w:spacing w:line="252" w:lineRule="auto"/>
        <w:rPr>
          <w:rFonts w:ascii="Garamond" w:hAnsi="Garamond"/>
          <w:b/>
          <w:bCs/>
          <w:sz w:val="32"/>
          <w:szCs w:val="32"/>
          <w:u w:val="single"/>
        </w:rPr>
      </w:pPr>
    </w:p>
    <w:p w14:paraId="57857464" w14:textId="77777777" w:rsidR="008C2B09" w:rsidRDefault="008C2B09" w:rsidP="00D8258F">
      <w:pPr>
        <w:spacing w:line="252" w:lineRule="auto"/>
        <w:rPr>
          <w:rFonts w:ascii="Garamond" w:hAnsi="Garamond"/>
          <w:b/>
          <w:bCs/>
          <w:sz w:val="32"/>
          <w:szCs w:val="32"/>
          <w:u w:val="single"/>
        </w:rPr>
      </w:pPr>
    </w:p>
    <w:p w14:paraId="10BC866A" w14:textId="77777777" w:rsidR="00F86CA7" w:rsidRPr="008C2B09" w:rsidRDefault="00F86CA7" w:rsidP="00D8258F">
      <w:pPr>
        <w:spacing w:line="252" w:lineRule="auto"/>
        <w:rPr>
          <w:rFonts w:ascii="Garamond" w:hAnsi="Garamond"/>
          <w:b/>
          <w:bCs/>
          <w:sz w:val="32"/>
          <w:szCs w:val="32"/>
          <w:u w:val="single"/>
        </w:rPr>
      </w:pPr>
    </w:p>
    <w:p w14:paraId="7329A3E2" w14:textId="08F01C4C" w:rsidR="008C2B09" w:rsidRPr="008C2B09" w:rsidRDefault="008C2B09" w:rsidP="008C2B09">
      <w:pPr>
        <w:spacing w:line="252" w:lineRule="auto"/>
        <w:jc w:val="right"/>
        <w:rPr>
          <w:rFonts w:ascii="Garamond" w:hAnsi="Garamond"/>
          <w:b/>
          <w:bCs/>
          <w:sz w:val="32"/>
          <w:szCs w:val="32"/>
          <w:u w:val="single"/>
        </w:rPr>
      </w:pPr>
      <w:r w:rsidRPr="008C2B09">
        <w:rPr>
          <w:rFonts w:ascii="Garamond" w:hAnsi="Garamond"/>
          <w:b/>
          <w:bCs/>
          <w:sz w:val="32"/>
          <w:szCs w:val="32"/>
          <w:u w:val="single"/>
        </w:rPr>
        <w:t>Article L. 911-4 du CJA</w:t>
      </w:r>
    </w:p>
    <w:p w14:paraId="1BCE33A8" w14:textId="77777777" w:rsidR="008C2B09" w:rsidRDefault="008C2B09" w:rsidP="00D8258F">
      <w:pPr>
        <w:spacing w:line="252" w:lineRule="auto"/>
        <w:rPr>
          <w:rFonts w:ascii="Garamond" w:hAnsi="Garamond"/>
          <w:b/>
          <w:bCs/>
          <w:sz w:val="32"/>
          <w:szCs w:val="32"/>
          <w:u w:val="single"/>
        </w:rPr>
      </w:pPr>
    </w:p>
    <w:p w14:paraId="1E6D3F35" w14:textId="77777777" w:rsidR="00F86CA7" w:rsidRPr="008C2B09" w:rsidRDefault="00F86CA7" w:rsidP="00D8258F">
      <w:pPr>
        <w:spacing w:line="252" w:lineRule="auto"/>
        <w:rPr>
          <w:rFonts w:ascii="Garamond" w:hAnsi="Garamond"/>
          <w:b/>
          <w:bCs/>
          <w:sz w:val="32"/>
          <w:szCs w:val="32"/>
          <w:u w:val="single"/>
        </w:rPr>
      </w:pPr>
    </w:p>
    <w:p w14:paraId="238E32ED" w14:textId="77777777" w:rsidR="008C2B09" w:rsidRPr="008C2B09" w:rsidRDefault="008C2B09" w:rsidP="00D8258F">
      <w:pPr>
        <w:spacing w:line="252" w:lineRule="auto"/>
        <w:rPr>
          <w:rFonts w:ascii="Garamond" w:hAnsi="Garamond"/>
          <w:b/>
          <w:bCs/>
          <w:sz w:val="32"/>
          <w:szCs w:val="32"/>
          <w:u w:val="single"/>
        </w:rPr>
      </w:pPr>
    </w:p>
    <w:p w14:paraId="2A8E392E" w14:textId="312819C5" w:rsidR="00795291" w:rsidRDefault="008C2B09" w:rsidP="000A75A0">
      <w:pPr>
        <w:spacing w:line="252" w:lineRule="auto"/>
        <w:jc w:val="center"/>
        <w:rPr>
          <w:rFonts w:ascii="Garamond" w:hAnsi="Garamond"/>
          <w:b/>
          <w:bCs/>
          <w:sz w:val="32"/>
          <w:szCs w:val="32"/>
        </w:rPr>
      </w:pPr>
      <w:r>
        <w:rPr>
          <w:rFonts w:ascii="Garamond" w:hAnsi="Garamond"/>
          <w:b/>
          <w:bCs/>
          <w:sz w:val="40"/>
          <w:szCs w:val="40"/>
        </w:rPr>
        <w:t>MONSIEUR LE PRÉSIDENT DU</w:t>
      </w:r>
      <w:r>
        <w:rPr>
          <w:rFonts w:ascii="Garamond" w:hAnsi="Garamond"/>
          <w:b/>
          <w:bCs/>
          <w:sz w:val="40"/>
          <w:szCs w:val="40"/>
        </w:rPr>
        <w:br/>
      </w:r>
      <w:r w:rsidR="000A75A0">
        <w:rPr>
          <w:rFonts w:ascii="Garamond" w:hAnsi="Garamond"/>
          <w:b/>
          <w:bCs/>
          <w:sz w:val="40"/>
          <w:szCs w:val="40"/>
        </w:rPr>
        <w:t>TRIBUNAL ADMINISTRATIF DE P</w:t>
      </w:r>
      <w:r>
        <w:rPr>
          <w:rFonts w:ascii="Garamond" w:hAnsi="Garamond"/>
          <w:b/>
          <w:bCs/>
          <w:sz w:val="40"/>
          <w:szCs w:val="40"/>
        </w:rPr>
        <w:t>ARIS</w:t>
      </w:r>
    </w:p>
    <w:p w14:paraId="5AB955F7" w14:textId="77777777" w:rsidR="00D96521" w:rsidRDefault="00D96521" w:rsidP="008C2B09">
      <w:pPr>
        <w:spacing w:line="252" w:lineRule="auto"/>
        <w:rPr>
          <w:rFonts w:ascii="Garamond" w:hAnsi="Garamond"/>
          <w:b/>
          <w:bCs/>
          <w:sz w:val="32"/>
          <w:szCs w:val="32"/>
        </w:rPr>
      </w:pPr>
    </w:p>
    <w:p w14:paraId="2F8C0157" w14:textId="02ED4676" w:rsidR="008C2B09" w:rsidRDefault="008C2B09" w:rsidP="008C2B09">
      <w:pPr>
        <w:spacing w:line="252" w:lineRule="auto"/>
        <w:jc w:val="center"/>
        <w:rPr>
          <w:rFonts w:ascii="Garamond" w:hAnsi="Garamond"/>
          <w:b/>
          <w:bCs/>
          <w:sz w:val="32"/>
          <w:szCs w:val="32"/>
        </w:rPr>
      </w:pPr>
      <w:r>
        <w:rPr>
          <w:rFonts w:ascii="Garamond" w:hAnsi="Garamond"/>
          <w:b/>
          <w:bCs/>
          <w:sz w:val="32"/>
          <w:szCs w:val="32"/>
        </w:rPr>
        <w:t>Demande d</w:t>
      </w:r>
      <w:r w:rsidR="00F86CA7">
        <w:rPr>
          <w:rFonts w:ascii="Garamond" w:hAnsi="Garamond"/>
          <w:b/>
          <w:bCs/>
          <w:sz w:val="32"/>
          <w:szCs w:val="32"/>
        </w:rPr>
        <w:t>’</w:t>
      </w:r>
      <w:r>
        <w:rPr>
          <w:rFonts w:ascii="Garamond" w:hAnsi="Garamond"/>
          <w:b/>
          <w:bCs/>
          <w:sz w:val="32"/>
          <w:szCs w:val="32"/>
        </w:rPr>
        <w:t xml:space="preserve">exécution du jugement </w:t>
      </w:r>
      <w:r>
        <w:rPr>
          <w:rFonts w:ascii="Garamond" w:hAnsi="Garamond"/>
          <w:b/>
          <w:bCs/>
          <w:sz w:val="32"/>
          <w:szCs w:val="32"/>
        </w:rPr>
        <w:br/>
        <w:t>n</w:t>
      </w:r>
      <w:r w:rsidRPr="008C2B09">
        <w:rPr>
          <w:rFonts w:ascii="Garamond" w:hAnsi="Garamond"/>
          <w:b/>
          <w:bCs/>
          <w:sz w:val="32"/>
          <w:szCs w:val="32"/>
          <w:vertAlign w:val="superscript"/>
        </w:rPr>
        <w:t>os</w:t>
      </w:r>
      <w:r w:rsidRPr="008C2B09">
        <w:t xml:space="preserve"> </w:t>
      </w:r>
      <w:r w:rsidRPr="008C2B09">
        <w:rPr>
          <w:rFonts w:ascii="Garamond" w:hAnsi="Garamond"/>
          <w:b/>
          <w:bCs/>
          <w:sz w:val="32"/>
          <w:szCs w:val="32"/>
        </w:rPr>
        <w:t>1904967, 1904968, 1904972, 1904976/4-1</w:t>
      </w:r>
      <w:r>
        <w:rPr>
          <w:rFonts w:ascii="Garamond" w:hAnsi="Garamond"/>
          <w:b/>
          <w:bCs/>
          <w:sz w:val="32"/>
          <w:szCs w:val="32"/>
        </w:rPr>
        <w:br/>
        <w:t>rendu le 14 octobre 2021</w:t>
      </w:r>
    </w:p>
    <w:p w14:paraId="6661C413" w14:textId="77777777" w:rsidR="00081B99" w:rsidRPr="00081B99" w:rsidRDefault="00081B99" w:rsidP="00081B99">
      <w:pPr>
        <w:spacing w:line="252" w:lineRule="auto"/>
        <w:jc w:val="center"/>
        <w:rPr>
          <w:rFonts w:ascii="Garamond" w:hAnsi="Garamond"/>
          <w:b/>
          <w:bCs/>
          <w:sz w:val="32"/>
          <w:szCs w:val="32"/>
        </w:rPr>
      </w:pPr>
    </w:p>
    <w:p w14:paraId="2A3ACBE8" w14:textId="72F4A64E" w:rsidR="0019386A" w:rsidRPr="00767E8B" w:rsidRDefault="0019386A" w:rsidP="00081B99">
      <w:pPr>
        <w:spacing w:line="252" w:lineRule="auto"/>
        <w:jc w:val="center"/>
        <w:rPr>
          <w:b/>
          <w:color w:val="000000"/>
        </w:rPr>
      </w:pPr>
      <w:r w:rsidRPr="00A857DD">
        <w:rPr>
          <w:b/>
          <w:color w:val="000000"/>
        </w:rPr>
        <w:t>____________</w:t>
      </w:r>
    </w:p>
    <w:p w14:paraId="0F4DBD4B" w14:textId="33F13F9B" w:rsidR="0019386A" w:rsidRDefault="0019386A" w:rsidP="00081B99">
      <w:pPr>
        <w:spacing w:line="252" w:lineRule="auto"/>
        <w:jc w:val="both"/>
        <w:rPr>
          <w:rFonts w:ascii="Garamond" w:hAnsi="Garamond"/>
          <w:b/>
          <w:bCs/>
          <w:sz w:val="36"/>
          <w:szCs w:val="36"/>
        </w:rPr>
      </w:pPr>
    </w:p>
    <w:p w14:paraId="4921F20D" w14:textId="560AD06C" w:rsidR="00795291" w:rsidRDefault="00795291" w:rsidP="00081B99">
      <w:pPr>
        <w:spacing w:line="252" w:lineRule="auto"/>
        <w:jc w:val="both"/>
        <w:rPr>
          <w:rFonts w:ascii="Garamond" w:hAnsi="Garamond"/>
          <w:b/>
          <w:bCs/>
          <w:sz w:val="36"/>
          <w:szCs w:val="36"/>
        </w:rPr>
      </w:pPr>
    </w:p>
    <w:p w14:paraId="77EA9A6B" w14:textId="77777777" w:rsidR="00795291" w:rsidRPr="00541346" w:rsidRDefault="00795291" w:rsidP="00081B99">
      <w:pPr>
        <w:spacing w:line="252" w:lineRule="auto"/>
        <w:jc w:val="both"/>
        <w:rPr>
          <w:rFonts w:ascii="Garamond" w:hAnsi="Garamond"/>
          <w:b/>
          <w:bCs/>
          <w:sz w:val="36"/>
          <w:szCs w:val="36"/>
        </w:rPr>
      </w:pPr>
    </w:p>
    <w:p w14:paraId="57728781" w14:textId="0998F19B" w:rsidR="00BD1DCD" w:rsidRDefault="0019386A" w:rsidP="00D96521">
      <w:pPr>
        <w:spacing w:line="252" w:lineRule="auto"/>
        <w:ind w:left="1560" w:hanging="1418"/>
        <w:jc w:val="both"/>
        <w:rPr>
          <w:rFonts w:ascii="Garamond" w:hAnsi="Garamond"/>
          <w:bCs/>
        </w:rPr>
      </w:pPr>
      <w:r w:rsidRPr="00EE78F6">
        <w:rPr>
          <w:rFonts w:ascii="Garamond" w:hAnsi="Garamond"/>
          <w:b/>
          <w:bCs/>
          <w:u w:val="single"/>
        </w:rPr>
        <w:t>POUR</w:t>
      </w:r>
      <w:r w:rsidRPr="00EE78F6">
        <w:rPr>
          <w:rFonts w:ascii="Garamond" w:hAnsi="Garamond"/>
          <w:b/>
          <w:bCs/>
        </w:rPr>
        <w:t> :</w:t>
      </w:r>
      <w:r w:rsidR="00D36F48">
        <w:rPr>
          <w:rFonts w:ascii="Garamond" w:hAnsi="Garamond"/>
          <w:b/>
          <w:bCs/>
        </w:rPr>
        <w:t xml:space="preserve"> </w:t>
      </w:r>
      <w:r w:rsidR="00D36F48" w:rsidRPr="00BB74BD">
        <w:rPr>
          <w:rFonts w:ascii="Garamond" w:hAnsi="Garamond"/>
        </w:rPr>
        <w:tab/>
      </w:r>
      <w:r w:rsidR="00D02986">
        <w:rPr>
          <w:rFonts w:ascii="Garamond" w:hAnsi="Garamond"/>
        </w:rPr>
        <w:t>L</w:t>
      </w:r>
      <w:r w:rsidR="00F86CA7">
        <w:rPr>
          <w:rFonts w:ascii="Garamond" w:hAnsi="Garamond"/>
        </w:rPr>
        <w:t>’</w:t>
      </w:r>
      <w:r w:rsidR="00D02986">
        <w:rPr>
          <w:rFonts w:ascii="Garamond" w:hAnsi="Garamond"/>
        </w:rPr>
        <w:t xml:space="preserve">association </w:t>
      </w:r>
      <w:r w:rsidR="00F86CA7">
        <w:rPr>
          <w:rFonts w:ascii="Garamond" w:hAnsi="Garamond"/>
          <w:b/>
          <w:bCs/>
        </w:rPr>
        <w:t>[</w:t>
      </w:r>
      <w:r w:rsidR="00F86CA7" w:rsidRPr="00F86CA7">
        <w:rPr>
          <w:rFonts w:ascii="Garamond" w:hAnsi="Garamond"/>
          <w:b/>
          <w:bCs/>
          <w:highlight w:val="yellow"/>
        </w:rPr>
        <w:t>XXX</w:t>
      </w:r>
      <w:r w:rsidR="00F86CA7">
        <w:rPr>
          <w:rFonts w:ascii="Garamond" w:hAnsi="Garamond"/>
          <w:b/>
          <w:bCs/>
        </w:rPr>
        <w:t>]</w:t>
      </w:r>
    </w:p>
    <w:p w14:paraId="2AB4F390" w14:textId="77777777" w:rsidR="00BD1DCD" w:rsidRDefault="00BD1DCD" w:rsidP="00764665">
      <w:pPr>
        <w:spacing w:line="252" w:lineRule="auto"/>
        <w:ind w:left="1560"/>
        <w:jc w:val="both"/>
        <w:rPr>
          <w:rFonts w:ascii="Garamond" w:hAnsi="Garamond"/>
          <w:bCs/>
        </w:rPr>
      </w:pPr>
    </w:p>
    <w:p w14:paraId="12004D2C" w14:textId="77777777" w:rsidR="001E0D26" w:rsidRDefault="001E0D26" w:rsidP="00764665">
      <w:pPr>
        <w:spacing w:line="252" w:lineRule="auto"/>
        <w:ind w:left="1560"/>
        <w:jc w:val="both"/>
        <w:rPr>
          <w:rFonts w:ascii="Garamond" w:hAnsi="Garamond"/>
          <w:bCs/>
        </w:rPr>
      </w:pPr>
    </w:p>
    <w:p w14:paraId="1B751EC2" w14:textId="77777777" w:rsidR="001E0D26" w:rsidRDefault="001E0D26" w:rsidP="00764665">
      <w:pPr>
        <w:spacing w:line="252" w:lineRule="auto"/>
        <w:ind w:left="1560"/>
        <w:jc w:val="both"/>
        <w:rPr>
          <w:rFonts w:ascii="Garamond" w:hAnsi="Garamond"/>
          <w:bCs/>
        </w:rPr>
      </w:pPr>
    </w:p>
    <w:p w14:paraId="596D285D" w14:textId="77777777" w:rsidR="001E0D26" w:rsidRDefault="001E0D26" w:rsidP="001E0D26">
      <w:pPr>
        <w:spacing w:line="252" w:lineRule="auto"/>
        <w:ind w:left="1560"/>
        <w:jc w:val="both"/>
        <w:rPr>
          <w:rFonts w:ascii="Garamond" w:hAnsi="Garamond"/>
          <w:bCs/>
        </w:rPr>
      </w:pPr>
    </w:p>
    <w:p w14:paraId="4BB24FFA" w14:textId="77777777" w:rsidR="001E0D26" w:rsidRDefault="001E0D26" w:rsidP="001E0D26">
      <w:pPr>
        <w:spacing w:line="252" w:lineRule="auto"/>
        <w:ind w:left="1560"/>
        <w:jc w:val="both"/>
        <w:rPr>
          <w:rFonts w:ascii="Garamond" w:hAnsi="Garamond"/>
          <w:bCs/>
        </w:rPr>
      </w:pPr>
    </w:p>
    <w:p w14:paraId="295EC8C8" w14:textId="77777777" w:rsidR="001E0D26" w:rsidRDefault="001E0D26" w:rsidP="002F6568">
      <w:pPr>
        <w:spacing w:line="252" w:lineRule="auto"/>
        <w:ind w:left="1560"/>
        <w:jc w:val="both"/>
        <w:rPr>
          <w:rFonts w:ascii="Garamond" w:hAnsi="Garamond"/>
          <w:bCs/>
        </w:rPr>
      </w:pPr>
    </w:p>
    <w:p w14:paraId="7E07B8AE" w14:textId="77777777" w:rsidR="001E0D26" w:rsidRDefault="001E0D26" w:rsidP="002F6568">
      <w:pPr>
        <w:spacing w:line="252" w:lineRule="auto"/>
        <w:ind w:left="1560"/>
        <w:jc w:val="both"/>
        <w:rPr>
          <w:rFonts w:ascii="Garamond" w:hAnsi="Garamond"/>
          <w:bCs/>
        </w:rPr>
      </w:pPr>
    </w:p>
    <w:p w14:paraId="358C21DF" w14:textId="77777777" w:rsidR="001E0D26" w:rsidRDefault="001E0D26" w:rsidP="002F6568">
      <w:pPr>
        <w:spacing w:line="252" w:lineRule="auto"/>
        <w:ind w:left="1560"/>
        <w:jc w:val="both"/>
        <w:rPr>
          <w:rFonts w:ascii="Garamond" w:hAnsi="Garamond"/>
          <w:bCs/>
        </w:rPr>
      </w:pPr>
    </w:p>
    <w:p w14:paraId="7699C3D2" w14:textId="77777777" w:rsidR="001E0D26" w:rsidRDefault="001E0D26" w:rsidP="002F6568">
      <w:pPr>
        <w:spacing w:line="252" w:lineRule="auto"/>
        <w:ind w:left="1560"/>
        <w:jc w:val="both"/>
        <w:rPr>
          <w:rFonts w:ascii="Garamond" w:hAnsi="Garamond"/>
          <w:bCs/>
        </w:rPr>
      </w:pPr>
    </w:p>
    <w:p w14:paraId="3646B53F" w14:textId="77777777" w:rsidR="001E0D26" w:rsidRDefault="001E0D26" w:rsidP="002F6568">
      <w:pPr>
        <w:spacing w:line="252" w:lineRule="auto"/>
        <w:ind w:left="1560"/>
        <w:jc w:val="both"/>
        <w:rPr>
          <w:rFonts w:ascii="Garamond" w:hAnsi="Garamond"/>
          <w:bCs/>
        </w:rPr>
      </w:pPr>
    </w:p>
    <w:p w14:paraId="1BAAE408" w14:textId="77777777" w:rsidR="001E0D26" w:rsidRDefault="001E0D26" w:rsidP="002F6568">
      <w:pPr>
        <w:spacing w:line="252" w:lineRule="auto"/>
        <w:ind w:left="1560"/>
        <w:jc w:val="both"/>
        <w:rPr>
          <w:rFonts w:ascii="Garamond" w:hAnsi="Garamond"/>
          <w:bCs/>
        </w:rPr>
      </w:pPr>
    </w:p>
    <w:p w14:paraId="1B1077C2" w14:textId="4A0C1FBA" w:rsidR="00795291" w:rsidRDefault="0019386A" w:rsidP="0019386A">
      <w:pPr>
        <w:spacing w:line="252" w:lineRule="auto"/>
        <w:jc w:val="both"/>
        <w:rPr>
          <w:rFonts w:ascii="Garamond" w:hAnsi="Garamond"/>
        </w:rPr>
      </w:pPr>
      <w:r>
        <w:rPr>
          <w:rFonts w:ascii="Garamond" w:hAnsi="Garamond"/>
        </w:rPr>
        <w:br w:type="page"/>
      </w:r>
    </w:p>
    <w:p w14:paraId="79D30B99" w14:textId="77777777" w:rsidR="00AE7E2D" w:rsidRPr="00165691" w:rsidRDefault="00AE7E2D" w:rsidP="00AE7E2D">
      <w:pPr>
        <w:pStyle w:val="Titre1"/>
        <w:ind w:left="0" w:firstLine="0"/>
        <w:jc w:val="center"/>
        <w:rPr>
          <w:rFonts w:ascii="Garamond" w:hAnsi="Garamond"/>
          <w:sz w:val="28"/>
          <w:szCs w:val="28"/>
          <w:u w:val="single"/>
        </w:rPr>
      </w:pPr>
      <w:bookmarkStart w:id="0" w:name="_Toc8727022"/>
      <w:bookmarkStart w:id="1" w:name="_Toc97057357"/>
      <w:r w:rsidRPr="00165691">
        <w:rPr>
          <w:rFonts w:ascii="Garamond" w:hAnsi="Garamond"/>
          <w:sz w:val="28"/>
          <w:szCs w:val="28"/>
          <w:u w:val="single"/>
        </w:rPr>
        <w:lastRenderedPageBreak/>
        <w:t>FAITS ET PROCÉDURE</w:t>
      </w:r>
      <w:bookmarkEnd w:id="0"/>
      <w:bookmarkEnd w:id="1"/>
    </w:p>
    <w:p w14:paraId="16CD5A6D" w14:textId="77777777" w:rsidR="00165691" w:rsidRPr="00F52A38" w:rsidRDefault="00165691" w:rsidP="00F52A38">
      <w:pPr>
        <w:spacing w:line="252" w:lineRule="auto"/>
        <w:jc w:val="both"/>
        <w:rPr>
          <w:rFonts w:ascii="Garamond" w:hAnsi="Garamond"/>
        </w:rPr>
      </w:pPr>
    </w:p>
    <w:p w14:paraId="471FDF36" w14:textId="608D8EC2" w:rsidR="000B2A36" w:rsidRPr="00F52A38" w:rsidRDefault="000B2A36" w:rsidP="00F52A38">
      <w:pPr>
        <w:numPr>
          <w:ilvl w:val="0"/>
          <w:numId w:val="1"/>
        </w:numPr>
        <w:spacing w:line="252" w:lineRule="auto"/>
        <w:ind w:left="0" w:firstLine="0"/>
        <w:jc w:val="both"/>
        <w:rPr>
          <w:rFonts w:ascii="Garamond" w:hAnsi="Garamond"/>
        </w:rPr>
      </w:pPr>
    </w:p>
    <w:p w14:paraId="47C95077" w14:textId="77777777" w:rsidR="000B2A36" w:rsidRPr="00F52A38" w:rsidRDefault="000B2A36" w:rsidP="00F52A38">
      <w:pPr>
        <w:spacing w:line="252" w:lineRule="auto"/>
        <w:jc w:val="both"/>
        <w:rPr>
          <w:rFonts w:ascii="Garamond" w:hAnsi="Garamond"/>
        </w:rPr>
      </w:pPr>
    </w:p>
    <w:p w14:paraId="5D08E165" w14:textId="4FB274E7" w:rsidR="00D96521" w:rsidRDefault="0018352C" w:rsidP="00F52A38">
      <w:pPr>
        <w:spacing w:line="252" w:lineRule="auto"/>
        <w:jc w:val="both"/>
        <w:rPr>
          <w:rFonts w:ascii="Garamond" w:hAnsi="Garamond"/>
        </w:rPr>
      </w:pPr>
      <w:r>
        <w:rPr>
          <w:rFonts w:ascii="Garamond" w:hAnsi="Garamond"/>
        </w:rPr>
        <w:t>Le</w:t>
      </w:r>
      <w:r w:rsidR="00D96521">
        <w:rPr>
          <w:rFonts w:ascii="Garamond" w:hAnsi="Garamond"/>
        </w:rPr>
        <w:t xml:space="preserve"> 14 mars 2019, le</w:t>
      </w:r>
      <w:r>
        <w:rPr>
          <w:rFonts w:ascii="Garamond" w:hAnsi="Garamond"/>
        </w:rPr>
        <w:t>s associations</w:t>
      </w:r>
      <w:r w:rsidR="00076B3A">
        <w:rPr>
          <w:rFonts w:ascii="Garamond" w:hAnsi="Garamond"/>
        </w:rPr>
        <w:t xml:space="preserve"> </w:t>
      </w:r>
      <w:r w:rsidR="00D96521" w:rsidRPr="00D96521">
        <w:rPr>
          <w:rFonts w:ascii="Garamond" w:hAnsi="Garamond"/>
          <w:b/>
          <w:bCs/>
        </w:rPr>
        <w:t>Notre Affaire À Tous</w:t>
      </w:r>
      <w:r w:rsidR="00D96521">
        <w:rPr>
          <w:rFonts w:ascii="Garamond" w:hAnsi="Garamond"/>
        </w:rPr>
        <w:t xml:space="preserve">, </w:t>
      </w:r>
      <w:r w:rsidR="00D96521" w:rsidRPr="00D96521">
        <w:rPr>
          <w:rFonts w:ascii="Garamond" w:hAnsi="Garamond"/>
          <w:b/>
          <w:bCs/>
        </w:rPr>
        <w:t>Oxfam France</w:t>
      </w:r>
      <w:r w:rsidR="00D96521">
        <w:rPr>
          <w:rFonts w:ascii="Garamond" w:hAnsi="Garamond"/>
        </w:rPr>
        <w:t xml:space="preserve"> et </w:t>
      </w:r>
      <w:r w:rsidR="00D96521" w:rsidRPr="00D96521">
        <w:rPr>
          <w:rFonts w:ascii="Garamond" w:hAnsi="Garamond"/>
          <w:b/>
          <w:bCs/>
        </w:rPr>
        <w:t>Greenpeace France</w:t>
      </w:r>
      <w:r w:rsidR="00D96521">
        <w:rPr>
          <w:rFonts w:ascii="Garamond" w:hAnsi="Garamond"/>
        </w:rPr>
        <w:t>, ainsi que la Fondation pour la nature et l</w:t>
      </w:r>
      <w:r w:rsidR="00F86CA7">
        <w:rPr>
          <w:rFonts w:ascii="Garamond" w:hAnsi="Garamond"/>
        </w:rPr>
        <w:t>’</w:t>
      </w:r>
      <w:r w:rsidR="00D96521">
        <w:rPr>
          <w:rFonts w:ascii="Garamond" w:hAnsi="Garamond"/>
        </w:rPr>
        <w:t>homme, ont saisi le Tribunal administratif de Paris d</w:t>
      </w:r>
      <w:r w:rsidR="00F86CA7">
        <w:rPr>
          <w:rFonts w:ascii="Garamond" w:hAnsi="Garamond"/>
        </w:rPr>
        <w:t>’</w:t>
      </w:r>
      <w:r w:rsidR="00D96521">
        <w:rPr>
          <w:rFonts w:ascii="Garamond" w:hAnsi="Garamond"/>
        </w:rPr>
        <w:t>un recours en responsabilité dirigé contre l</w:t>
      </w:r>
      <w:r w:rsidR="00F86CA7">
        <w:rPr>
          <w:rFonts w:ascii="Garamond" w:hAnsi="Garamond"/>
        </w:rPr>
        <w:t>’</w:t>
      </w:r>
      <w:r w:rsidR="00D96521">
        <w:rPr>
          <w:rFonts w:ascii="Garamond" w:hAnsi="Garamond"/>
        </w:rPr>
        <w:t>État, fondé sur l</w:t>
      </w:r>
      <w:r w:rsidR="00F86CA7">
        <w:rPr>
          <w:rFonts w:ascii="Garamond" w:hAnsi="Garamond"/>
        </w:rPr>
        <w:t>’</w:t>
      </w:r>
      <w:r w:rsidR="00D96521">
        <w:rPr>
          <w:rFonts w:ascii="Garamond" w:hAnsi="Garamond"/>
        </w:rPr>
        <w:t xml:space="preserve">insuffisante action de ce dernier en matière de lutte contre le changement climatique. </w:t>
      </w:r>
    </w:p>
    <w:p w14:paraId="5486FF48" w14:textId="77777777" w:rsidR="00D96521" w:rsidRDefault="00D96521" w:rsidP="00F52A38">
      <w:pPr>
        <w:spacing w:line="252" w:lineRule="auto"/>
        <w:jc w:val="both"/>
        <w:rPr>
          <w:rFonts w:ascii="Garamond" w:hAnsi="Garamond"/>
        </w:rPr>
      </w:pPr>
    </w:p>
    <w:p w14:paraId="3FAF45A0" w14:textId="68626A7C" w:rsidR="00D96521" w:rsidRDefault="00D96521" w:rsidP="00F52A38">
      <w:pPr>
        <w:spacing w:line="252" w:lineRule="auto"/>
        <w:jc w:val="both"/>
        <w:rPr>
          <w:rFonts w:ascii="Garamond" w:hAnsi="Garamond"/>
        </w:rPr>
      </w:pPr>
      <w:r>
        <w:rPr>
          <w:rFonts w:ascii="Garamond" w:hAnsi="Garamond"/>
        </w:rPr>
        <w:t>Dans ce cadre, elles ont, notamment, sollicité du Tribunal qu</w:t>
      </w:r>
      <w:r w:rsidR="00F86CA7">
        <w:rPr>
          <w:rFonts w:ascii="Garamond" w:hAnsi="Garamond"/>
        </w:rPr>
        <w:t>’</w:t>
      </w:r>
      <w:r>
        <w:rPr>
          <w:rFonts w:ascii="Garamond" w:hAnsi="Garamond"/>
        </w:rPr>
        <w:t xml:space="preserve">il enjoigne au Premier ministre et aux ministres compétents de prendre toutes les mesures nécessaires </w:t>
      </w:r>
      <w:r w:rsidR="0007206C">
        <w:rPr>
          <w:rFonts w:ascii="Garamond" w:hAnsi="Garamond"/>
        </w:rPr>
        <w:t>pour réparer le préjudice écologique lié au surplus d</w:t>
      </w:r>
      <w:r w:rsidR="00F86CA7">
        <w:rPr>
          <w:rFonts w:ascii="Garamond" w:hAnsi="Garamond"/>
        </w:rPr>
        <w:t>’</w:t>
      </w:r>
      <w:r w:rsidR="0007206C">
        <w:rPr>
          <w:rFonts w:ascii="Garamond" w:hAnsi="Garamond"/>
        </w:rPr>
        <w:t>émissions de gaz à effet de serre (GES) résultant du non-respect par l</w:t>
      </w:r>
      <w:r w:rsidR="00F86CA7">
        <w:rPr>
          <w:rFonts w:ascii="Garamond" w:hAnsi="Garamond"/>
        </w:rPr>
        <w:t>’</w:t>
      </w:r>
      <w:r w:rsidR="0007206C">
        <w:rPr>
          <w:rFonts w:ascii="Garamond" w:hAnsi="Garamond"/>
        </w:rPr>
        <w:t>État du premier budget carbone (2015-2018) et faire cesser, pour l</w:t>
      </w:r>
      <w:r w:rsidR="00F86CA7">
        <w:rPr>
          <w:rFonts w:ascii="Garamond" w:hAnsi="Garamond"/>
        </w:rPr>
        <w:t>’</w:t>
      </w:r>
      <w:r w:rsidR="0007206C">
        <w:rPr>
          <w:rFonts w:ascii="Garamond" w:hAnsi="Garamond"/>
        </w:rPr>
        <w:t xml:space="preserve">avenir, son aggravation. </w:t>
      </w:r>
    </w:p>
    <w:p w14:paraId="615E2EAD" w14:textId="77777777" w:rsidR="00591D4A" w:rsidRPr="00F52A38" w:rsidRDefault="00591D4A" w:rsidP="00591D4A">
      <w:pPr>
        <w:spacing w:line="252" w:lineRule="auto"/>
        <w:jc w:val="both"/>
        <w:rPr>
          <w:rFonts w:ascii="Garamond" w:hAnsi="Garamond"/>
        </w:rPr>
      </w:pPr>
    </w:p>
    <w:p w14:paraId="75319ABB" w14:textId="77777777" w:rsidR="00591D4A" w:rsidRPr="00F52A38" w:rsidRDefault="00591D4A" w:rsidP="00591D4A">
      <w:pPr>
        <w:numPr>
          <w:ilvl w:val="0"/>
          <w:numId w:val="1"/>
        </w:numPr>
        <w:spacing w:line="252" w:lineRule="auto"/>
        <w:ind w:left="0" w:firstLine="0"/>
        <w:jc w:val="both"/>
        <w:rPr>
          <w:rFonts w:ascii="Garamond" w:hAnsi="Garamond"/>
        </w:rPr>
      </w:pPr>
    </w:p>
    <w:p w14:paraId="7D1DAC65" w14:textId="77777777" w:rsidR="0007206C" w:rsidRDefault="0007206C" w:rsidP="00F52A38">
      <w:pPr>
        <w:spacing w:line="252" w:lineRule="auto"/>
        <w:jc w:val="both"/>
        <w:rPr>
          <w:rFonts w:ascii="Garamond" w:hAnsi="Garamond"/>
        </w:rPr>
      </w:pPr>
    </w:p>
    <w:p w14:paraId="6717CA26" w14:textId="009C27BB" w:rsidR="009B68A7" w:rsidRDefault="0007206C" w:rsidP="00F52A38">
      <w:pPr>
        <w:spacing w:line="252" w:lineRule="auto"/>
        <w:jc w:val="both"/>
        <w:rPr>
          <w:rFonts w:ascii="Garamond" w:hAnsi="Garamond"/>
        </w:rPr>
      </w:pPr>
      <w:r>
        <w:rPr>
          <w:rFonts w:ascii="Garamond" w:hAnsi="Garamond"/>
        </w:rPr>
        <w:t>Par un jugement avant-dire-droit du 3 février 2021, le Tribunal administratif de Paris a</w:t>
      </w:r>
      <w:r w:rsidR="009B68A7">
        <w:rPr>
          <w:rFonts w:ascii="Garamond" w:hAnsi="Garamond"/>
        </w:rPr>
        <w:t xml:space="preserve"> </w:t>
      </w:r>
      <w:r w:rsidR="00883991">
        <w:rPr>
          <w:rFonts w:ascii="Garamond" w:hAnsi="Garamond"/>
        </w:rPr>
        <w:t xml:space="preserve">considéré </w:t>
      </w:r>
      <w:r w:rsidR="009B68A7">
        <w:rPr>
          <w:rFonts w:ascii="Garamond" w:hAnsi="Garamond"/>
        </w:rPr>
        <w:t>que « </w:t>
      </w:r>
      <w:r w:rsidR="009B68A7" w:rsidRPr="009B68A7">
        <w:rPr>
          <w:rFonts w:ascii="Garamond" w:hAnsi="Garamond"/>
          <w:i/>
          <w:iCs/>
        </w:rPr>
        <w:t>l</w:t>
      </w:r>
      <w:r w:rsidR="00F86CA7">
        <w:rPr>
          <w:rFonts w:ascii="Garamond" w:hAnsi="Garamond"/>
          <w:i/>
          <w:iCs/>
        </w:rPr>
        <w:t>’</w:t>
      </w:r>
      <w:r w:rsidR="009B68A7" w:rsidRPr="009B68A7">
        <w:rPr>
          <w:rFonts w:ascii="Garamond" w:hAnsi="Garamond"/>
          <w:i/>
          <w:iCs/>
        </w:rPr>
        <w:t>État</w:t>
      </w:r>
      <w:r w:rsidR="009B68A7">
        <w:rPr>
          <w:rFonts w:ascii="Garamond" w:hAnsi="Garamond"/>
        </w:rPr>
        <w:t xml:space="preserve"> [devait] </w:t>
      </w:r>
      <w:r w:rsidR="009B68A7" w:rsidRPr="009B68A7">
        <w:rPr>
          <w:rFonts w:ascii="Garamond" w:hAnsi="Garamond"/>
          <w:i/>
          <w:iCs/>
        </w:rPr>
        <w:t>être regardé comme ayant méconnu le premier budget carbone et n</w:t>
      </w:r>
      <w:r w:rsidR="00F86CA7">
        <w:rPr>
          <w:rFonts w:ascii="Garamond" w:hAnsi="Garamond"/>
          <w:i/>
          <w:iCs/>
        </w:rPr>
        <w:t>’</w:t>
      </w:r>
      <w:r w:rsidR="009B68A7" w:rsidRPr="009B68A7">
        <w:rPr>
          <w:rFonts w:ascii="Garamond" w:hAnsi="Garamond"/>
          <w:i/>
          <w:iCs/>
        </w:rPr>
        <w:t>a</w:t>
      </w:r>
      <w:r w:rsidR="009B68A7">
        <w:rPr>
          <w:rFonts w:ascii="Garamond" w:hAnsi="Garamond"/>
        </w:rPr>
        <w:t>[yant</w:t>
      </w:r>
      <w:r w:rsidR="009B68A7" w:rsidRPr="009B68A7">
        <w:rPr>
          <w:rFonts w:ascii="Garamond" w:hAnsi="Garamond"/>
        </w:rPr>
        <w:t>]</w:t>
      </w:r>
      <w:r w:rsidR="009B68A7" w:rsidRPr="009B68A7">
        <w:rPr>
          <w:rFonts w:ascii="Garamond" w:hAnsi="Garamond"/>
          <w:i/>
          <w:iCs/>
        </w:rPr>
        <w:t xml:space="preserve"> pas ainsi réalisé les actions qu</w:t>
      </w:r>
      <w:r w:rsidR="00F86CA7">
        <w:rPr>
          <w:rFonts w:ascii="Garamond" w:hAnsi="Garamond"/>
          <w:i/>
          <w:iCs/>
        </w:rPr>
        <w:t>’</w:t>
      </w:r>
      <w:r w:rsidR="009B68A7" w:rsidRPr="009B68A7">
        <w:rPr>
          <w:rFonts w:ascii="Garamond" w:hAnsi="Garamond"/>
          <w:i/>
          <w:iCs/>
        </w:rPr>
        <w:t>il avait lui-même reconnues comme étant susceptibles de réduire les émissions de gaz à effet de serre</w:t>
      </w:r>
      <w:r w:rsidR="009B68A7">
        <w:rPr>
          <w:rFonts w:ascii="Garamond" w:hAnsi="Garamond"/>
        </w:rPr>
        <w:t> »</w:t>
      </w:r>
      <w:r w:rsidR="00883991">
        <w:rPr>
          <w:rFonts w:ascii="Garamond" w:hAnsi="Garamond"/>
        </w:rPr>
        <w:t xml:space="preserve">. </w:t>
      </w:r>
    </w:p>
    <w:p w14:paraId="4532F54E" w14:textId="77777777" w:rsidR="00883991" w:rsidRDefault="00883991" w:rsidP="00F52A38">
      <w:pPr>
        <w:spacing w:line="252" w:lineRule="auto"/>
        <w:jc w:val="both"/>
        <w:rPr>
          <w:rFonts w:ascii="Garamond" w:hAnsi="Garamond"/>
        </w:rPr>
      </w:pPr>
    </w:p>
    <w:p w14:paraId="543527D9" w14:textId="09314C96" w:rsidR="00883991" w:rsidRDefault="00883991" w:rsidP="00F52A38">
      <w:pPr>
        <w:spacing w:line="252" w:lineRule="auto"/>
        <w:jc w:val="both"/>
        <w:rPr>
          <w:rFonts w:ascii="Garamond" w:hAnsi="Garamond"/>
        </w:rPr>
      </w:pPr>
      <w:r>
        <w:rPr>
          <w:rFonts w:ascii="Garamond" w:hAnsi="Garamond"/>
        </w:rPr>
        <w:t>Par suite, après avoir relevé que « </w:t>
      </w:r>
      <w:r w:rsidRPr="009B68A7">
        <w:rPr>
          <w:rFonts w:ascii="Garamond" w:hAnsi="Garamond"/>
          <w:i/>
          <w:iCs/>
        </w:rPr>
        <w:t xml:space="preserve">le préjudice écologique invoqué par les associations requérantes </w:t>
      </w:r>
      <w:r w:rsidRPr="00883991">
        <w:rPr>
          <w:rFonts w:ascii="Garamond" w:hAnsi="Garamond"/>
        </w:rPr>
        <w:t>[devait]</w:t>
      </w:r>
      <w:r w:rsidRPr="009B68A7">
        <w:rPr>
          <w:rFonts w:ascii="Garamond" w:hAnsi="Garamond"/>
          <w:i/>
          <w:iCs/>
        </w:rPr>
        <w:t xml:space="preserve"> être regardé comme établi</w:t>
      </w:r>
      <w:r>
        <w:rPr>
          <w:rFonts w:ascii="Garamond" w:hAnsi="Garamond"/>
        </w:rPr>
        <w:t> », il a jugé que « </w:t>
      </w:r>
      <w:r w:rsidRPr="00883991">
        <w:rPr>
          <w:rFonts w:ascii="Garamond" w:hAnsi="Garamond"/>
          <w:i/>
          <w:iCs/>
        </w:rPr>
        <w:t>les associations requérantes</w:t>
      </w:r>
      <w:r>
        <w:rPr>
          <w:rFonts w:ascii="Garamond" w:hAnsi="Garamond"/>
        </w:rPr>
        <w:t xml:space="preserve"> [étaient] </w:t>
      </w:r>
      <w:r w:rsidRPr="00883991">
        <w:rPr>
          <w:rFonts w:ascii="Garamond" w:hAnsi="Garamond"/>
          <w:i/>
          <w:iCs/>
        </w:rPr>
        <w:t>fondées à soutenir qu</w:t>
      </w:r>
      <w:r w:rsidR="00F86CA7">
        <w:rPr>
          <w:rFonts w:ascii="Garamond" w:hAnsi="Garamond"/>
          <w:i/>
          <w:iCs/>
        </w:rPr>
        <w:t>’</w:t>
      </w:r>
      <w:r w:rsidRPr="00883991">
        <w:rPr>
          <w:rFonts w:ascii="Garamond" w:hAnsi="Garamond"/>
          <w:i/>
          <w:iCs/>
        </w:rPr>
        <w:t>à hauteur des engagements qu</w:t>
      </w:r>
      <w:r w:rsidR="00F86CA7">
        <w:rPr>
          <w:rFonts w:ascii="Garamond" w:hAnsi="Garamond"/>
          <w:i/>
          <w:iCs/>
        </w:rPr>
        <w:t>’</w:t>
      </w:r>
      <w:r w:rsidRPr="00883991">
        <w:rPr>
          <w:rFonts w:ascii="Garamond" w:hAnsi="Garamond"/>
          <w:i/>
          <w:iCs/>
        </w:rPr>
        <w:t>il avait pris et qu</w:t>
      </w:r>
      <w:r w:rsidR="00F86CA7">
        <w:rPr>
          <w:rFonts w:ascii="Garamond" w:hAnsi="Garamond"/>
          <w:i/>
          <w:iCs/>
        </w:rPr>
        <w:t>’</w:t>
      </w:r>
      <w:r w:rsidRPr="00883991">
        <w:rPr>
          <w:rFonts w:ascii="Garamond" w:hAnsi="Garamond"/>
          <w:i/>
          <w:iCs/>
        </w:rPr>
        <w:t>il n</w:t>
      </w:r>
      <w:r w:rsidR="00F86CA7">
        <w:rPr>
          <w:rFonts w:ascii="Garamond" w:hAnsi="Garamond"/>
          <w:i/>
          <w:iCs/>
        </w:rPr>
        <w:t>’</w:t>
      </w:r>
      <w:r w:rsidRPr="00883991">
        <w:rPr>
          <w:rFonts w:ascii="Garamond" w:hAnsi="Garamond"/>
          <w:i/>
          <w:iCs/>
        </w:rPr>
        <w:t>a pas respectés dans le cadre du premier budget carbone, l</w:t>
      </w:r>
      <w:r w:rsidR="00F86CA7">
        <w:rPr>
          <w:rFonts w:ascii="Garamond" w:hAnsi="Garamond"/>
          <w:i/>
          <w:iCs/>
        </w:rPr>
        <w:t>’</w:t>
      </w:r>
      <w:r w:rsidRPr="00883991">
        <w:rPr>
          <w:rFonts w:ascii="Garamond" w:hAnsi="Garamond"/>
          <w:i/>
          <w:iCs/>
        </w:rPr>
        <w:t xml:space="preserve">État </w:t>
      </w:r>
      <w:r>
        <w:rPr>
          <w:rFonts w:ascii="Garamond" w:hAnsi="Garamond"/>
        </w:rPr>
        <w:t xml:space="preserve">[devait] </w:t>
      </w:r>
      <w:r w:rsidRPr="00883991">
        <w:rPr>
          <w:rFonts w:ascii="Garamond" w:hAnsi="Garamond"/>
          <w:i/>
          <w:iCs/>
        </w:rPr>
        <w:t>être regardé comme responsable, au sens des dispositions</w:t>
      </w:r>
      <w:r>
        <w:rPr>
          <w:rFonts w:ascii="Garamond" w:hAnsi="Garamond"/>
        </w:rPr>
        <w:t xml:space="preserve"> […] </w:t>
      </w:r>
      <w:r w:rsidRPr="00883991">
        <w:rPr>
          <w:rFonts w:ascii="Garamond" w:hAnsi="Garamond"/>
          <w:i/>
          <w:iCs/>
        </w:rPr>
        <w:t>de l</w:t>
      </w:r>
      <w:r w:rsidR="00F86CA7">
        <w:rPr>
          <w:rFonts w:ascii="Garamond" w:hAnsi="Garamond"/>
          <w:i/>
          <w:iCs/>
        </w:rPr>
        <w:t>’</w:t>
      </w:r>
      <w:r w:rsidRPr="00883991">
        <w:rPr>
          <w:rFonts w:ascii="Garamond" w:hAnsi="Garamond"/>
          <w:i/>
          <w:iCs/>
        </w:rPr>
        <w:t>article 1246 du code civil, d</w:t>
      </w:r>
      <w:r w:rsidR="00F86CA7">
        <w:rPr>
          <w:rFonts w:ascii="Garamond" w:hAnsi="Garamond"/>
          <w:i/>
          <w:iCs/>
        </w:rPr>
        <w:t>’</w:t>
      </w:r>
      <w:r w:rsidRPr="00883991">
        <w:rPr>
          <w:rFonts w:ascii="Garamond" w:hAnsi="Garamond"/>
          <w:i/>
          <w:iCs/>
        </w:rPr>
        <w:t>une partie du</w:t>
      </w:r>
      <w:r>
        <w:rPr>
          <w:rFonts w:ascii="Garamond" w:hAnsi="Garamond"/>
        </w:rPr>
        <w:t xml:space="preserve">[dit] </w:t>
      </w:r>
      <w:r w:rsidRPr="00883991">
        <w:rPr>
          <w:rFonts w:ascii="Garamond" w:hAnsi="Garamond"/>
          <w:i/>
          <w:iCs/>
        </w:rPr>
        <w:t>préjudice écologique</w:t>
      </w:r>
      <w:r>
        <w:rPr>
          <w:rFonts w:ascii="Garamond" w:hAnsi="Garamond"/>
        </w:rPr>
        <w:t xml:space="preserve"> ». </w:t>
      </w:r>
    </w:p>
    <w:p w14:paraId="2D0DF240" w14:textId="77777777" w:rsidR="009B68A7" w:rsidRDefault="009B68A7" w:rsidP="00F52A38">
      <w:pPr>
        <w:spacing w:line="252" w:lineRule="auto"/>
        <w:jc w:val="both"/>
        <w:rPr>
          <w:rFonts w:ascii="Garamond" w:hAnsi="Garamond"/>
        </w:rPr>
      </w:pPr>
    </w:p>
    <w:p w14:paraId="3660D0D2" w14:textId="6A8D658B" w:rsidR="00883991" w:rsidRDefault="000E4514" w:rsidP="00F52A38">
      <w:pPr>
        <w:spacing w:line="252" w:lineRule="auto"/>
        <w:jc w:val="both"/>
        <w:rPr>
          <w:rFonts w:ascii="Garamond" w:hAnsi="Garamond"/>
        </w:rPr>
      </w:pPr>
      <w:r>
        <w:rPr>
          <w:rFonts w:ascii="Garamond" w:hAnsi="Garamond"/>
        </w:rPr>
        <w:t>Ceci posé</w:t>
      </w:r>
      <w:r w:rsidR="00883991">
        <w:rPr>
          <w:rFonts w:ascii="Garamond" w:hAnsi="Garamond"/>
        </w:rPr>
        <w:t>, il a</w:t>
      </w:r>
      <w:r w:rsidR="009B68A7">
        <w:rPr>
          <w:rFonts w:ascii="Garamond" w:hAnsi="Garamond"/>
        </w:rPr>
        <w:t xml:space="preserve"> considéré que « </w:t>
      </w:r>
      <w:r w:rsidR="009B68A7" w:rsidRPr="009B68A7">
        <w:rPr>
          <w:rFonts w:ascii="Garamond" w:hAnsi="Garamond"/>
          <w:i/>
          <w:iCs/>
        </w:rPr>
        <w:t>l</w:t>
      </w:r>
      <w:r w:rsidR="00F86CA7">
        <w:rPr>
          <w:rFonts w:ascii="Garamond" w:hAnsi="Garamond"/>
          <w:i/>
          <w:iCs/>
        </w:rPr>
        <w:t>’</w:t>
      </w:r>
      <w:r w:rsidR="009B68A7" w:rsidRPr="009B68A7">
        <w:rPr>
          <w:rFonts w:ascii="Garamond" w:hAnsi="Garamond"/>
          <w:i/>
          <w:iCs/>
        </w:rPr>
        <w:t>état de l</w:t>
      </w:r>
      <w:r w:rsidR="00F86CA7">
        <w:rPr>
          <w:rFonts w:ascii="Garamond" w:hAnsi="Garamond"/>
          <w:i/>
          <w:iCs/>
        </w:rPr>
        <w:t>’</w:t>
      </w:r>
      <w:r w:rsidR="009B68A7" w:rsidRPr="009B68A7">
        <w:rPr>
          <w:rFonts w:ascii="Garamond" w:hAnsi="Garamond"/>
          <w:i/>
          <w:iCs/>
        </w:rPr>
        <w:t>instruction ne lui permet</w:t>
      </w:r>
      <w:r w:rsidR="009B68A7">
        <w:rPr>
          <w:rFonts w:ascii="Garamond" w:hAnsi="Garamond"/>
        </w:rPr>
        <w:t xml:space="preserve">[tait] </w:t>
      </w:r>
      <w:r w:rsidR="009B68A7" w:rsidRPr="009B68A7">
        <w:rPr>
          <w:rFonts w:ascii="Garamond" w:hAnsi="Garamond"/>
          <w:i/>
          <w:iCs/>
        </w:rPr>
        <w:t>pas de déterminer avec précision les mesures qui</w:t>
      </w:r>
      <w:r w:rsidR="009B68A7">
        <w:rPr>
          <w:rFonts w:ascii="Garamond" w:hAnsi="Garamond"/>
        </w:rPr>
        <w:t xml:space="preserve"> [devaient] </w:t>
      </w:r>
      <w:r w:rsidR="009B68A7" w:rsidRPr="009B68A7">
        <w:rPr>
          <w:rFonts w:ascii="Garamond" w:hAnsi="Garamond"/>
          <w:i/>
          <w:iCs/>
        </w:rPr>
        <w:t>être ordonnées à l</w:t>
      </w:r>
      <w:r w:rsidR="00F86CA7">
        <w:rPr>
          <w:rFonts w:ascii="Garamond" w:hAnsi="Garamond"/>
          <w:i/>
          <w:iCs/>
        </w:rPr>
        <w:t>’</w:t>
      </w:r>
      <w:r w:rsidR="009B68A7" w:rsidRPr="009B68A7">
        <w:rPr>
          <w:rFonts w:ascii="Garamond" w:hAnsi="Garamond"/>
          <w:i/>
          <w:iCs/>
        </w:rPr>
        <w:t>État à cette fin</w:t>
      </w:r>
      <w:r w:rsidR="009B68A7">
        <w:rPr>
          <w:rFonts w:ascii="Garamond" w:hAnsi="Garamond"/>
        </w:rPr>
        <w:t> »</w:t>
      </w:r>
      <w:r w:rsidR="00883991">
        <w:rPr>
          <w:rFonts w:ascii="Garamond" w:hAnsi="Garamond"/>
        </w:rPr>
        <w:t xml:space="preserve">. </w:t>
      </w:r>
    </w:p>
    <w:p w14:paraId="6710BE82" w14:textId="77777777" w:rsidR="00883991" w:rsidRDefault="00883991" w:rsidP="00F52A38">
      <w:pPr>
        <w:spacing w:line="252" w:lineRule="auto"/>
        <w:jc w:val="both"/>
        <w:rPr>
          <w:rFonts w:ascii="Garamond" w:hAnsi="Garamond"/>
        </w:rPr>
      </w:pPr>
    </w:p>
    <w:p w14:paraId="544056B8" w14:textId="7E2A3DFD" w:rsidR="00883991" w:rsidRPr="00F52A38" w:rsidRDefault="00883991" w:rsidP="00591D4A">
      <w:pPr>
        <w:spacing w:line="252" w:lineRule="auto"/>
        <w:jc w:val="both"/>
        <w:rPr>
          <w:rFonts w:ascii="Garamond" w:hAnsi="Garamond"/>
        </w:rPr>
      </w:pPr>
      <w:r>
        <w:rPr>
          <w:rFonts w:ascii="Garamond" w:hAnsi="Garamond"/>
        </w:rPr>
        <w:t xml:space="preserve">Il a </w:t>
      </w:r>
      <w:r w:rsidR="009B68A7">
        <w:rPr>
          <w:rFonts w:ascii="Garamond" w:hAnsi="Garamond"/>
        </w:rPr>
        <w:t>par suite, ordonné un « </w:t>
      </w:r>
      <w:r w:rsidR="009B68A7" w:rsidRPr="009B68A7">
        <w:rPr>
          <w:rFonts w:ascii="Garamond" w:hAnsi="Garamond"/>
          <w:i/>
          <w:iCs/>
        </w:rPr>
        <w:t>supplément d</w:t>
      </w:r>
      <w:r w:rsidR="00F86CA7">
        <w:rPr>
          <w:rFonts w:ascii="Garamond" w:hAnsi="Garamond"/>
          <w:i/>
          <w:iCs/>
        </w:rPr>
        <w:t>’</w:t>
      </w:r>
      <w:r w:rsidR="009B68A7" w:rsidRPr="009B68A7">
        <w:rPr>
          <w:rFonts w:ascii="Garamond" w:hAnsi="Garamond"/>
          <w:i/>
          <w:iCs/>
        </w:rPr>
        <w:t>instruction</w:t>
      </w:r>
      <w:r w:rsidR="009B68A7">
        <w:rPr>
          <w:rFonts w:ascii="Garamond" w:hAnsi="Garamond"/>
        </w:rPr>
        <w:t> », « </w:t>
      </w:r>
      <w:r w:rsidR="009B68A7" w:rsidRPr="009B68A7">
        <w:rPr>
          <w:rFonts w:ascii="Garamond" w:hAnsi="Garamond"/>
          <w:i/>
          <w:iCs/>
        </w:rPr>
        <w:t xml:space="preserve">avant de statuer </w:t>
      </w:r>
      <w:r w:rsidR="0007206C" w:rsidRPr="009B68A7">
        <w:rPr>
          <w:rFonts w:ascii="Garamond" w:hAnsi="Garamond"/>
          <w:i/>
          <w:iCs/>
        </w:rPr>
        <w:t>sur les conclusions</w:t>
      </w:r>
      <w:r w:rsidR="0007206C" w:rsidRPr="0007206C">
        <w:rPr>
          <w:rFonts w:ascii="Garamond" w:hAnsi="Garamond"/>
        </w:rPr>
        <w:t xml:space="preserve"> </w:t>
      </w:r>
      <w:r w:rsidR="0007206C" w:rsidRPr="00883991">
        <w:rPr>
          <w:rFonts w:ascii="Garamond" w:hAnsi="Garamond"/>
        </w:rPr>
        <w:t xml:space="preserve">[…] </w:t>
      </w:r>
      <w:r w:rsidR="0007206C" w:rsidRPr="009B68A7">
        <w:rPr>
          <w:rFonts w:ascii="Garamond" w:hAnsi="Garamond"/>
          <w:i/>
          <w:iCs/>
        </w:rPr>
        <w:t>tendant à ce que le tribunal enjoigne à l</w:t>
      </w:r>
      <w:r w:rsidR="00F86CA7">
        <w:rPr>
          <w:rFonts w:ascii="Garamond" w:hAnsi="Garamond"/>
          <w:i/>
          <w:iCs/>
        </w:rPr>
        <w:t>’</w:t>
      </w:r>
      <w:r w:rsidR="0007206C" w:rsidRPr="009B68A7">
        <w:rPr>
          <w:rFonts w:ascii="Garamond" w:hAnsi="Garamond"/>
          <w:i/>
          <w:iCs/>
        </w:rPr>
        <w:t>État, afin de faire cesser pour l</w:t>
      </w:r>
      <w:r w:rsidR="00F86CA7">
        <w:rPr>
          <w:rFonts w:ascii="Garamond" w:hAnsi="Garamond"/>
          <w:i/>
          <w:iCs/>
        </w:rPr>
        <w:t>’</w:t>
      </w:r>
      <w:r w:rsidR="0007206C" w:rsidRPr="009B68A7">
        <w:rPr>
          <w:rFonts w:ascii="Garamond" w:hAnsi="Garamond"/>
          <w:i/>
          <w:iCs/>
        </w:rPr>
        <w:t>avenir l</w:t>
      </w:r>
      <w:r w:rsidR="00F86CA7">
        <w:rPr>
          <w:rFonts w:ascii="Garamond" w:hAnsi="Garamond"/>
          <w:i/>
          <w:iCs/>
        </w:rPr>
        <w:t>’</w:t>
      </w:r>
      <w:r w:rsidR="0007206C" w:rsidRPr="009B68A7">
        <w:rPr>
          <w:rFonts w:ascii="Garamond" w:hAnsi="Garamond"/>
          <w:i/>
          <w:iCs/>
        </w:rPr>
        <w:t>aggravation du préjudice écologique constaté, de prendre toutes les mesures permettant d</w:t>
      </w:r>
      <w:r w:rsidR="00F86CA7">
        <w:rPr>
          <w:rFonts w:ascii="Garamond" w:hAnsi="Garamond"/>
          <w:i/>
          <w:iCs/>
        </w:rPr>
        <w:t>’</w:t>
      </w:r>
      <w:r w:rsidR="0007206C" w:rsidRPr="009B68A7">
        <w:rPr>
          <w:rFonts w:ascii="Garamond" w:hAnsi="Garamond"/>
          <w:i/>
          <w:iCs/>
        </w:rPr>
        <w:t>atteindre les objectifs que la France s</w:t>
      </w:r>
      <w:r w:rsidR="00F86CA7">
        <w:rPr>
          <w:rFonts w:ascii="Garamond" w:hAnsi="Garamond"/>
          <w:i/>
          <w:iCs/>
        </w:rPr>
        <w:t>’</w:t>
      </w:r>
      <w:r w:rsidR="0007206C" w:rsidRPr="009B68A7">
        <w:rPr>
          <w:rFonts w:ascii="Garamond" w:hAnsi="Garamond"/>
          <w:i/>
          <w:iCs/>
        </w:rPr>
        <w:t>est fixés en matière de réduction des émissions de gaz à effet de serre</w:t>
      </w:r>
      <w:r w:rsidR="009B68A7">
        <w:rPr>
          <w:rFonts w:ascii="Garamond" w:hAnsi="Garamond"/>
        </w:rPr>
        <w:t> » (</w:t>
      </w:r>
      <w:r w:rsidR="009B68A7" w:rsidRPr="009B68A7">
        <w:rPr>
          <w:rFonts w:ascii="Garamond" w:hAnsi="Garamond"/>
          <w:b/>
          <w:bCs/>
          <w:u w:val="single"/>
        </w:rPr>
        <w:t>Production n° 1</w:t>
      </w:r>
      <w:r w:rsidR="009B68A7">
        <w:rPr>
          <w:rFonts w:ascii="Garamond" w:hAnsi="Garamond"/>
        </w:rPr>
        <w:t xml:space="preserve">). </w:t>
      </w:r>
    </w:p>
    <w:p w14:paraId="209E4DA7" w14:textId="77777777" w:rsidR="00591D4A" w:rsidRPr="00F52A38" w:rsidRDefault="00591D4A" w:rsidP="00591D4A">
      <w:pPr>
        <w:spacing w:line="252" w:lineRule="auto"/>
        <w:jc w:val="both"/>
        <w:rPr>
          <w:rFonts w:ascii="Garamond" w:hAnsi="Garamond"/>
        </w:rPr>
      </w:pPr>
    </w:p>
    <w:p w14:paraId="7415C1C0" w14:textId="77777777" w:rsidR="00591D4A" w:rsidRPr="00F52A38" w:rsidRDefault="00591D4A" w:rsidP="00591D4A">
      <w:pPr>
        <w:numPr>
          <w:ilvl w:val="0"/>
          <w:numId w:val="1"/>
        </w:numPr>
        <w:spacing w:line="252" w:lineRule="auto"/>
        <w:ind w:left="0" w:firstLine="0"/>
        <w:jc w:val="both"/>
        <w:rPr>
          <w:rFonts w:ascii="Garamond" w:hAnsi="Garamond"/>
        </w:rPr>
      </w:pPr>
    </w:p>
    <w:p w14:paraId="434BB267" w14:textId="77777777" w:rsidR="00883991" w:rsidRPr="00F52A38" w:rsidRDefault="00883991" w:rsidP="00883991">
      <w:pPr>
        <w:spacing w:line="252" w:lineRule="auto"/>
        <w:jc w:val="both"/>
        <w:rPr>
          <w:rFonts w:ascii="Garamond" w:hAnsi="Garamond"/>
        </w:rPr>
      </w:pPr>
    </w:p>
    <w:p w14:paraId="4FAAC70B" w14:textId="1DF0FE43" w:rsidR="009B68A7" w:rsidRDefault="00883991" w:rsidP="00F52A38">
      <w:pPr>
        <w:spacing w:line="252" w:lineRule="auto"/>
        <w:jc w:val="both"/>
        <w:rPr>
          <w:rFonts w:ascii="Garamond" w:hAnsi="Garamond"/>
        </w:rPr>
      </w:pPr>
      <w:r>
        <w:rPr>
          <w:rFonts w:ascii="Garamond" w:hAnsi="Garamond"/>
        </w:rPr>
        <w:t>À l</w:t>
      </w:r>
      <w:r w:rsidR="00F86CA7">
        <w:rPr>
          <w:rFonts w:ascii="Garamond" w:hAnsi="Garamond"/>
        </w:rPr>
        <w:t>’</w:t>
      </w:r>
      <w:r>
        <w:rPr>
          <w:rFonts w:ascii="Garamond" w:hAnsi="Garamond"/>
        </w:rPr>
        <w:t>issue de ce supplément d</w:t>
      </w:r>
      <w:r w:rsidR="00F86CA7">
        <w:rPr>
          <w:rFonts w:ascii="Garamond" w:hAnsi="Garamond"/>
        </w:rPr>
        <w:t>’</w:t>
      </w:r>
      <w:r>
        <w:rPr>
          <w:rFonts w:ascii="Garamond" w:hAnsi="Garamond"/>
        </w:rPr>
        <w:t>instruction, le Tribunal administratif de Paris a, par un jugement en</w:t>
      </w:r>
      <w:r w:rsidR="00591D4A">
        <w:rPr>
          <w:rFonts w:ascii="Garamond" w:hAnsi="Garamond"/>
        </w:rPr>
        <w:t xml:space="preserve"> </w:t>
      </w:r>
      <w:r>
        <w:rPr>
          <w:rFonts w:ascii="Garamond" w:hAnsi="Garamond"/>
        </w:rPr>
        <w:t xml:space="preserve">date du 14 octobre 2021 – devenu définitif – fait droit aux demandes des associations, et enjoint au Premier ministre et aux ministres compétents </w:t>
      </w:r>
      <w:r w:rsidR="00CB43D2">
        <w:rPr>
          <w:rFonts w:ascii="Garamond" w:hAnsi="Garamond"/>
        </w:rPr>
        <w:t>de « </w:t>
      </w:r>
      <w:r w:rsidR="00CB43D2" w:rsidRPr="00CB43D2">
        <w:rPr>
          <w:rFonts w:ascii="Garamond" w:hAnsi="Garamond"/>
          <w:i/>
          <w:iCs/>
        </w:rPr>
        <w:t>prendre toutes les mesures utiles de nature à réparer le préjudice écologique et prévenir l</w:t>
      </w:r>
      <w:r w:rsidR="00F86CA7">
        <w:rPr>
          <w:rFonts w:ascii="Garamond" w:hAnsi="Garamond"/>
          <w:i/>
          <w:iCs/>
        </w:rPr>
        <w:t>’</w:t>
      </w:r>
      <w:r w:rsidR="00CB43D2" w:rsidRPr="00CB43D2">
        <w:rPr>
          <w:rFonts w:ascii="Garamond" w:hAnsi="Garamond"/>
          <w:i/>
          <w:iCs/>
        </w:rPr>
        <w:t>aggravation des dommages à hauteur de la part non compensée d</w:t>
      </w:r>
      <w:r w:rsidR="00F86CA7">
        <w:rPr>
          <w:rFonts w:ascii="Garamond" w:hAnsi="Garamond"/>
          <w:i/>
          <w:iCs/>
        </w:rPr>
        <w:t>’</w:t>
      </w:r>
      <w:r w:rsidR="00CB43D2" w:rsidRPr="00CB43D2">
        <w:rPr>
          <w:rFonts w:ascii="Garamond" w:hAnsi="Garamond"/>
          <w:i/>
          <w:iCs/>
        </w:rPr>
        <w:t>émissions de gaz à effet de serre au titre du premier budget carbone, soit 15 Mt CO</w:t>
      </w:r>
      <w:r w:rsidR="00CB43D2" w:rsidRPr="00CB43D2">
        <w:rPr>
          <w:rFonts w:ascii="Garamond" w:hAnsi="Garamond"/>
          <w:i/>
          <w:iCs/>
          <w:vertAlign w:val="subscript"/>
        </w:rPr>
        <w:t>2</w:t>
      </w:r>
      <w:r w:rsidR="00CB43D2" w:rsidRPr="00CB43D2">
        <w:rPr>
          <w:rFonts w:ascii="Garamond" w:hAnsi="Garamond"/>
          <w:i/>
          <w:iCs/>
        </w:rPr>
        <w:t>eq, et sous réserve d</w:t>
      </w:r>
      <w:r w:rsidR="00F86CA7">
        <w:rPr>
          <w:rFonts w:ascii="Garamond" w:hAnsi="Garamond"/>
          <w:i/>
          <w:iCs/>
        </w:rPr>
        <w:t>’</w:t>
      </w:r>
      <w:r w:rsidR="00CB43D2" w:rsidRPr="00CB43D2">
        <w:rPr>
          <w:rFonts w:ascii="Garamond" w:hAnsi="Garamond"/>
          <w:i/>
          <w:iCs/>
        </w:rPr>
        <w:t>un ajustement au regard des données estimées du CITEPA au 31 janvier 2022</w:t>
      </w:r>
      <w:r w:rsidR="00CB43D2">
        <w:rPr>
          <w:rFonts w:ascii="Garamond" w:hAnsi="Garamond"/>
        </w:rPr>
        <w:t xml:space="preserve"> ». </w:t>
      </w:r>
    </w:p>
    <w:p w14:paraId="0DC39DD3" w14:textId="77777777" w:rsidR="00883991" w:rsidRDefault="00883991" w:rsidP="00F52A38">
      <w:pPr>
        <w:spacing w:line="252" w:lineRule="auto"/>
        <w:jc w:val="both"/>
        <w:rPr>
          <w:rFonts w:ascii="Garamond" w:hAnsi="Garamond"/>
        </w:rPr>
      </w:pPr>
    </w:p>
    <w:p w14:paraId="783E8242" w14:textId="77777777" w:rsidR="00767F99" w:rsidRDefault="00591D4A" w:rsidP="00F52A38">
      <w:pPr>
        <w:spacing w:line="252" w:lineRule="auto"/>
        <w:jc w:val="both"/>
        <w:rPr>
          <w:rFonts w:ascii="Garamond" w:hAnsi="Garamond"/>
        </w:rPr>
      </w:pPr>
      <w:r>
        <w:rPr>
          <w:rFonts w:ascii="Garamond" w:hAnsi="Garamond"/>
        </w:rPr>
        <w:t>Il a dans le même temps, précisé que « </w:t>
      </w:r>
      <w:r w:rsidRPr="00591D4A">
        <w:rPr>
          <w:rFonts w:ascii="Garamond" w:hAnsi="Garamond"/>
          <w:i/>
          <w:iCs/>
        </w:rPr>
        <w:t>la réparation du préjudice</w:t>
      </w:r>
      <w:r>
        <w:rPr>
          <w:rFonts w:ascii="Garamond" w:hAnsi="Garamond"/>
        </w:rPr>
        <w:t xml:space="preserve"> [devrait] </w:t>
      </w:r>
      <w:r w:rsidRPr="00591D4A">
        <w:rPr>
          <w:rFonts w:ascii="Garamond" w:hAnsi="Garamond"/>
          <w:i/>
          <w:iCs/>
        </w:rPr>
        <w:t>être effective au 31 décembre 2022, au plus tard</w:t>
      </w:r>
      <w:r>
        <w:rPr>
          <w:rFonts w:ascii="Garamond" w:hAnsi="Garamond"/>
        </w:rPr>
        <w:t> »</w:t>
      </w:r>
      <w:r w:rsidR="00767F99">
        <w:rPr>
          <w:rFonts w:ascii="Garamond" w:hAnsi="Garamond"/>
        </w:rPr>
        <w:t xml:space="preserve">. </w:t>
      </w:r>
    </w:p>
    <w:p w14:paraId="630E961E" w14:textId="77777777" w:rsidR="00767F99" w:rsidRDefault="00767F99" w:rsidP="00F52A38">
      <w:pPr>
        <w:spacing w:line="252" w:lineRule="auto"/>
        <w:jc w:val="both"/>
        <w:rPr>
          <w:rFonts w:ascii="Garamond" w:hAnsi="Garamond"/>
        </w:rPr>
      </w:pPr>
    </w:p>
    <w:p w14:paraId="4E0955C6" w14:textId="77777777" w:rsidR="00797B94" w:rsidRDefault="00797B94">
      <w:pPr>
        <w:rPr>
          <w:rFonts w:ascii="Garamond" w:hAnsi="Garamond"/>
        </w:rPr>
      </w:pPr>
      <w:r>
        <w:rPr>
          <w:rFonts w:ascii="Garamond" w:hAnsi="Garamond"/>
        </w:rPr>
        <w:br w:type="page"/>
      </w:r>
    </w:p>
    <w:p w14:paraId="14C1220F" w14:textId="558AEF40" w:rsidR="00767F99" w:rsidRDefault="00767F99" w:rsidP="00F52A38">
      <w:pPr>
        <w:spacing w:line="252" w:lineRule="auto"/>
        <w:jc w:val="both"/>
        <w:rPr>
          <w:rFonts w:ascii="Garamond" w:hAnsi="Garamond"/>
        </w:rPr>
      </w:pPr>
      <w:r>
        <w:rPr>
          <w:rFonts w:ascii="Garamond" w:hAnsi="Garamond"/>
        </w:rPr>
        <w:lastRenderedPageBreak/>
        <w:t xml:space="preserve">Et pour ce faire, il a notamment considéré que : </w:t>
      </w:r>
    </w:p>
    <w:p w14:paraId="65CC82D7" w14:textId="77777777" w:rsidR="00767F99" w:rsidRDefault="00767F99" w:rsidP="00F52A38">
      <w:pPr>
        <w:spacing w:line="252" w:lineRule="auto"/>
        <w:jc w:val="both"/>
        <w:rPr>
          <w:rFonts w:ascii="Garamond" w:hAnsi="Garamond"/>
        </w:rPr>
      </w:pPr>
    </w:p>
    <w:p w14:paraId="109D0ADF" w14:textId="1F73F9CC" w:rsidR="00767F99" w:rsidRDefault="00767F99" w:rsidP="00767F99">
      <w:pPr>
        <w:spacing w:line="252" w:lineRule="auto"/>
        <w:ind w:left="567"/>
        <w:jc w:val="both"/>
        <w:rPr>
          <w:rFonts w:ascii="Garamond" w:hAnsi="Garamond"/>
          <w:i/>
          <w:iCs/>
        </w:rPr>
      </w:pPr>
      <w:r>
        <w:rPr>
          <w:rFonts w:ascii="Garamond" w:hAnsi="Garamond"/>
        </w:rPr>
        <w:t>« </w:t>
      </w:r>
      <w:r w:rsidRPr="00767F99">
        <w:rPr>
          <w:rFonts w:ascii="Garamond" w:hAnsi="Garamond"/>
          <w:i/>
          <w:iCs/>
        </w:rPr>
        <w:t>11. Le préjudice écologique né d</w:t>
      </w:r>
      <w:r w:rsidR="00F86CA7">
        <w:rPr>
          <w:rFonts w:ascii="Garamond" w:hAnsi="Garamond"/>
          <w:i/>
          <w:iCs/>
        </w:rPr>
        <w:t>’</w:t>
      </w:r>
      <w:r w:rsidRPr="00767F99">
        <w:rPr>
          <w:rFonts w:ascii="Garamond" w:hAnsi="Garamond"/>
          <w:i/>
          <w:iCs/>
        </w:rPr>
        <w:t>un surplus d</w:t>
      </w:r>
      <w:r w:rsidR="00F86CA7">
        <w:rPr>
          <w:rFonts w:ascii="Garamond" w:hAnsi="Garamond"/>
          <w:i/>
          <w:iCs/>
        </w:rPr>
        <w:t>’</w:t>
      </w:r>
      <w:r w:rsidRPr="00767F99">
        <w:rPr>
          <w:rFonts w:ascii="Garamond" w:hAnsi="Garamond"/>
          <w:i/>
          <w:iCs/>
        </w:rPr>
        <w:t>émissions de gaz à effet de serre présente un caractère continu et cumulatif dès lors que le non-respect constaté du premier budget carbone a engendré des émissions supplémentaires de gaz à effet de serre, qui s</w:t>
      </w:r>
      <w:r w:rsidR="00F86CA7">
        <w:rPr>
          <w:rFonts w:ascii="Garamond" w:hAnsi="Garamond"/>
          <w:i/>
          <w:iCs/>
        </w:rPr>
        <w:t>’</w:t>
      </w:r>
      <w:r w:rsidRPr="00767F99">
        <w:rPr>
          <w:rFonts w:ascii="Garamond" w:hAnsi="Garamond"/>
          <w:i/>
          <w:iCs/>
        </w:rPr>
        <w:t>ajouteront aux précédentes et produiront des effets pendant toute la durée de vie de ces gaz dans l</w:t>
      </w:r>
      <w:r w:rsidR="00F86CA7">
        <w:rPr>
          <w:rFonts w:ascii="Garamond" w:hAnsi="Garamond"/>
          <w:i/>
          <w:iCs/>
        </w:rPr>
        <w:t>’</w:t>
      </w:r>
      <w:r w:rsidRPr="00767F99">
        <w:rPr>
          <w:rFonts w:ascii="Garamond" w:hAnsi="Garamond"/>
          <w:i/>
          <w:iCs/>
        </w:rPr>
        <w:t xml:space="preserve">atmosphère, soit environ 100 ans. Par conséquent, </w:t>
      </w:r>
      <w:r w:rsidRPr="00767F99">
        <w:rPr>
          <w:rFonts w:ascii="Garamond" w:hAnsi="Garamond"/>
          <w:i/>
          <w:iCs/>
          <w:u w:val="single"/>
        </w:rPr>
        <w:t>les mesures ordonnées</w:t>
      </w:r>
      <w:r w:rsidRPr="00767F99">
        <w:rPr>
          <w:rFonts w:ascii="Garamond" w:hAnsi="Garamond"/>
          <w:i/>
          <w:iCs/>
        </w:rPr>
        <w:t xml:space="preserve"> par le juge dans le cadre de ses pouvoirs d</w:t>
      </w:r>
      <w:r w:rsidR="00F86CA7">
        <w:rPr>
          <w:rFonts w:ascii="Garamond" w:hAnsi="Garamond"/>
          <w:i/>
          <w:iCs/>
        </w:rPr>
        <w:t>’</w:t>
      </w:r>
      <w:r w:rsidRPr="00767F99">
        <w:rPr>
          <w:rFonts w:ascii="Garamond" w:hAnsi="Garamond"/>
          <w:i/>
          <w:iCs/>
        </w:rPr>
        <w:t xml:space="preserve">injonction </w:t>
      </w:r>
      <w:r w:rsidRPr="00767F99">
        <w:rPr>
          <w:rFonts w:ascii="Garamond" w:hAnsi="Garamond"/>
          <w:i/>
          <w:iCs/>
          <w:u w:val="single"/>
        </w:rPr>
        <w:t>doivent intervenir dans un délai suffisamment bref</w:t>
      </w:r>
      <w:r w:rsidRPr="00767F99">
        <w:rPr>
          <w:rFonts w:ascii="Garamond" w:hAnsi="Garamond"/>
          <w:i/>
          <w:iCs/>
        </w:rPr>
        <w:t xml:space="preserve"> pour permettre, lorsque cela est possible, la réparation du préjudice ainsi que pour prévenir ou faire cesser le dommage constaté.</w:t>
      </w:r>
    </w:p>
    <w:p w14:paraId="6221F5BB" w14:textId="77777777" w:rsidR="00767F99" w:rsidRPr="00767F99" w:rsidRDefault="00767F99" w:rsidP="00767F99">
      <w:pPr>
        <w:spacing w:line="252" w:lineRule="auto"/>
        <w:ind w:left="567"/>
        <w:jc w:val="both"/>
        <w:rPr>
          <w:rFonts w:ascii="Garamond" w:hAnsi="Garamond"/>
          <w:i/>
          <w:iCs/>
        </w:rPr>
      </w:pPr>
    </w:p>
    <w:p w14:paraId="1C99A27E" w14:textId="3D66EA76" w:rsidR="00E25C9A" w:rsidRDefault="00E25C9A" w:rsidP="00E25C9A">
      <w:pPr>
        <w:spacing w:line="252" w:lineRule="auto"/>
        <w:ind w:left="567"/>
        <w:jc w:val="both"/>
        <w:rPr>
          <w:rFonts w:ascii="Garamond" w:hAnsi="Garamond"/>
          <w:i/>
          <w:iCs/>
        </w:rPr>
      </w:pPr>
      <w:r w:rsidRPr="00E25C9A">
        <w:rPr>
          <w:rFonts w:ascii="Garamond" w:hAnsi="Garamond"/>
        </w:rPr>
        <w:t>[…]</w:t>
      </w:r>
      <w:r>
        <w:rPr>
          <w:rFonts w:ascii="Garamond" w:hAnsi="Garamond"/>
          <w:i/>
          <w:iCs/>
        </w:rPr>
        <w:t xml:space="preserve"> </w:t>
      </w:r>
      <w:r w:rsidRPr="00E25C9A">
        <w:rPr>
          <w:rFonts w:ascii="Garamond" w:hAnsi="Garamond"/>
          <w:i/>
          <w:iCs/>
        </w:rPr>
        <w:t>13. Dans les circonstances de l</w:t>
      </w:r>
      <w:r w:rsidR="00F86CA7">
        <w:rPr>
          <w:rFonts w:ascii="Garamond" w:hAnsi="Garamond"/>
          <w:i/>
          <w:iCs/>
        </w:rPr>
        <w:t>’</w:t>
      </w:r>
      <w:r w:rsidRPr="00E25C9A">
        <w:rPr>
          <w:rFonts w:ascii="Garamond" w:hAnsi="Garamond"/>
          <w:i/>
          <w:iCs/>
        </w:rPr>
        <w:t>espèce, il y a lieu, d</w:t>
      </w:r>
      <w:r w:rsidR="00F86CA7">
        <w:rPr>
          <w:rFonts w:ascii="Garamond" w:hAnsi="Garamond"/>
          <w:i/>
          <w:iCs/>
        </w:rPr>
        <w:t>’</w:t>
      </w:r>
      <w:r w:rsidRPr="00E25C9A">
        <w:rPr>
          <w:rFonts w:ascii="Garamond" w:hAnsi="Garamond"/>
          <w:i/>
          <w:iCs/>
          <w:u w:val="single"/>
        </w:rPr>
        <w:t>ordonner au Premier ministre et aux ministres compétents de prendre toutes les mesures sectorielles utiles de nature à réparer le préjudice à hauteur de la part non compensée d</w:t>
      </w:r>
      <w:r w:rsidR="00F86CA7">
        <w:rPr>
          <w:rFonts w:ascii="Garamond" w:hAnsi="Garamond"/>
          <w:i/>
          <w:iCs/>
          <w:u w:val="single"/>
        </w:rPr>
        <w:t>’</w:t>
      </w:r>
      <w:r w:rsidRPr="00E25C9A">
        <w:rPr>
          <w:rFonts w:ascii="Garamond" w:hAnsi="Garamond"/>
          <w:i/>
          <w:iCs/>
          <w:u w:val="single"/>
        </w:rPr>
        <w:t>émissions de gaz à effet de serre au titre du premier budget carbone, soit 15 Mt CO2eq, et sous réserve d</w:t>
      </w:r>
      <w:r w:rsidR="00F86CA7">
        <w:rPr>
          <w:rFonts w:ascii="Garamond" w:hAnsi="Garamond"/>
          <w:i/>
          <w:iCs/>
          <w:u w:val="single"/>
        </w:rPr>
        <w:t>’</w:t>
      </w:r>
      <w:r w:rsidRPr="00E25C9A">
        <w:rPr>
          <w:rFonts w:ascii="Garamond" w:hAnsi="Garamond"/>
          <w:i/>
          <w:iCs/>
          <w:u w:val="single"/>
        </w:rPr>
        <w:t>un ajustement au regard des données estimées du CITEPA connues au 31 janvier 2022</w:t>
      </w:r>
      <w:r w:rsidRPr="00E25C9A">
        <w:rPr>
          <w:rFonts w:ascii="Garamond" w:hAnsi="Garamond"/>
          <w:i/>
          <w:iCs/>
        </w:rPr>
        <w:t>, lesquelles permettent d</w:t>
      </w:r>
      <w:r w:rsidR="00F86CA7">
        <w:rPr>
          <w:rFonts w:ascii="Garamond" w:hAnsi="Garamond"/>
          <w:i/>
          <w:iCs/>
        </w:rPr>
        <w:t>’</w:t>
      </w:r>
      <w:r w:rsidRPr="00E25C9A">
        <w:rPr>
          <w:rFonts w:ascii="Garamond" w:hAnsi="Garamond"/>
          <w:i/>
          <w:iCs/>
        </w:rPr>
        <w:t>assurer un mécanisme de suivi des émissions de GES. S</w:t>
      </w:r>
      <w:r w:rsidR="00F86CA7">
        <w:rPr>
          <w:rFonts w:ascii="Garamond" w:hAnsi="Garamond"/>
          <w:i/>
          <w:iCs/>
        </w:rPr>
        <w:t>’</w:t>
      </w:r>
      <w:r w:rsidRPr="00E25C9A">
        <w:rPr>
          <w:rFonts w:ascii="Garamond" w:hAnsi="Garamond"/>
          <w:i/>
          <w:iCs/>
        </w:rPr>
        <w:t>agissant de l</w:t>
      </w:r>
      <w:r w:rsidR="00F86CA7">
        <w:rPr>
          <w:rFonts w:ascii="Garamond" w:hAnsi="Garamond"/>
          <w:i/>
          <w:iCs/>
        </w:rPr>
        <w:t>’</w:t>
      </w:r>
      <w:r w:rsidRPr="00E25C9A">
        <w:rPr>
          <w:rFonts w:ascii="Garamond" w:hAnsi="Garamond"/>
          <w:i/>
          <w:iCs/>
        </w:rPr>
        <w:t>effet cumulatif du préjudice lié à la persistance des gaz à effet de serre dans l</w:t>
      </w:r>
      <w:r w:rsidR="00F86CA7">
        <w:rPr>
          <w:rFonts w:ascii="Garamond" w:hAnsi="Garamond"/>
          <w:i/>
          <w:iCs/>
        </w:rPr>
        <w:t>’</w:t>
      </w:r>
      <w:r w:rsidRPr="00E25C9A">
        <w:rPr>
          <w:rFonts w:ascii="Garamond" w:hAnsi="Garamond"/>
          <w:i/>
          <w:iCs/>
        </w:rPr>
        <w:t>atmosphère et des dommages susceptibles d</w:t>
      </w:r>
      <w:r w:rsidR="00F86CA7">
        <w:rPr>
          <w:rFonts w:ascii="Garamond" w:hAnsi="Garamond"/>
          <w:i/>
          <w:iCs/>
        </w:rPr>
        <w:t>’</w:t>
      </w:r>
      <w:r w:rsidRPr="00E25C9A">
        <w:rPr>
          <w:rFonts w:ascii="Garamond" w:hAnsi="Garamond"/>
          <w:i/>
          <w:iCs/>
        </w:rPr>
        <w:t>en résulter, en l</w:t>
      </w:r>
      <w:r w:rsidR="00F86CA7">
        <w:rPr>
          <w:rFonts w:ascii="Garamond" w:hAnsi="Garamond"/>
          <w:i/>
          <w:iCs/>
        </w:rPr>
        <w:t>’</w:t>
      </w:r>
      <w:r w:rsidRPr="00E25C9A">
        <w:rPr>
          <w:rFonts w:ascii="Garamond" w:hAnsi="Garamond"/>
          <w:i/>
          <w:iCs/>
        </w:rPr>
        <w:t>absence d</w:t>
      </w:r>
      <w:r w:rsidR="00F86CA7">
        <w:rPr>
          <w:rFonts w:ascii="Garamond" w:hAnsi="Garamond"/>
          <w:i/>
          <w:iCs/>
        </w:rPr>
        <w:t>’</w:t>
      </w:r>
      <w:r w:rsidRPr="00E25C9A">
        <w:rPr>
          <w:rFonts w:ascii="Garamond" w:hAnsi="Garamond"/>
          <w:i/>
          <w:iCs/>
        </w:rPr>
        <w:t>éléments permettant de quantifier un tel préjudice, et alors que la demande de versement d</w:t>
      </w:r>
      <w:r w:rsidR="00F86CA7">
        <w:rPr>
          <w:rFonts w:ascii="Garamond" w:hAnsi="Garamond"/>
          <w:i/>
          <w:iCs/>
        </w:rPr>
        <w:t>’</w:t>
      </w:r>
      <w:r w:rsidRPr="00E25C9A">
        <w:rPr>
          <w:rFonts w:ascii="Garamond" w:hAnsi="Garamond"/>
          <w:i/>
          <w:iCs/>
        </w:rPr>
        <w:t>un euro symbolique en réparation du préjudice écologique a déjà été regardée comme dépourvue de lien avec l</w:t>
      </w:r>
      <w:r w:rsidR="00F86CA7">
        <w:rPr>
          <w:rFonts w:ascii="Garamond" w:hAnsi="Garamond"/>
          <w:i/>
          <w:iCs/>
        </w:rPr>
        <w:t>’</w:t>
      </w:r>
      <w:r w:rsidRPr="00E25C9A">
        <w:rPr>
          <w:rFonts w:ascii="Garamond" w:hAnsi="Garamond"/>
          <w:i/>
          <w:iCs/>
        </w:rPr>
        <w:t>importance de celui-ci, il y a lieu, ainsi qu</w:t>
      </w:r>
      <w:r w:rsidR="00F86CA7">
        <w:rPr>
          <w:rFonts w:ascii="Garamond" w:hAnsi="Garamond"/>
          <w:i/>
          <w:iCs/>
        </w:rPr>
        <w:t>’</w:t>
      </w:r>
      <w:r w:rsidRPr="00E25C9A">
        <w:rPr>
          <w:rFonts w:ascii="Garamond" w:hAnsi="Garamond"/>
          <w:i/>
          <w:iCs/>
        </w:rPr>
        <w:t>il a été dit, d</w:t>
      </w:r>
      <w:r w:rsidR="00F86CA7">
        <w:rPr>
          <w:rFonts w:ascii="Garamond" w:hAnsi="Garamond"/>
          <w:i/>
          <w:iCs/>
        </w:rPr>
        <w:t>’</w:t>
      </w:r>
      <w:r w:rsidRPr="00E25C9A">
        <w:rPr>
          <w:rFonts w:ascii="Garamond" w:hAnsi="Garamond"/>
          <w:i/>
          <w:iCs/>
        </w:rPr>
        <w:t>ordonner l</w:t>
      </w:r>
      <w:r w:rsidR="00F86CA7">
        <w:rPr>
          <w:rFonts w:ascii="Garamond" w:hAnsi="Garamond"/>
          <w:i/>
          <w:iCs/>
        </w:rPr>
        <w:t>’</w:t>
      </w:r>
      <w:r w:rsidRPr="00E25C9A">
        <w:rPr>
          <w:rFonts w:ascii="Garamond" w:hAnsi="Garamond"/>
          <w:i/>
          <w:iCs/>
        </w:rPr>
        <w:t xml:space="preserve">édiction de telles mesures dans un </w:t>
      </w:r>
      <w:r w:rsidRPr="00E25C9A">
        <w:rPr>
          <w:rFonts w:ascii="Garamond" w:hAnsi="Garamond"/>
          <w:i/>
          <w:iCs/>
          <w:u w:val="single"/>
        </w:rPr>
        <w:t>délai suffisamment bref pour prévenir l</w:t>
      </w:r>
      <w:r w:rsidR="00F86CA7">
        <w:rPr>
          <w:rFonts w:ascii="Garamond" w:hAnsi="Garamond"/>
          <w:i/>
          <w:iCs/>
          <w:u w:val="single"/>
        </w:rPr>
        <w:t>’</w:t>
      </w:r>
      <w:r w:rsidRPr="00E25C9A">
        <w:rPr>
          <w:rFonts w:ascii="Garamond" w:hAnsi="Garamond"/>
          <w:i/>
          <w:iCs/>
          <w:u w:val="single"/>
        </w:rPr>
        <w:t>aggravation de ces dommages</w:t>
      </w:r>
      <w:r w:rsidRPr="00E25C9A">
        <w:rPr>
          <w:rFonts w:ascii="Garamond" w:hAnsi="Garamond"/>
          <w:i/>
          <w:iCs/>
        </w:rPr>
        <w:t>. Dans le cadre du présent litige, les mesures concrètes de nature à permettre la réparation du préjudice peuvent revêtir diverses formes et expriment, par suite, des choix relevant de la libre appréciation du Gouvernement.</w:t>
      </w:r>
    </w:p>
    <w:p w14:paraId="7358D242" w14:textId="77777777" w:rsidR="00E25C9A" w:rsidRPr="00E25C9A" w:rsidRDefault="00E25C9A" w:rsidP="00E25C9A">
      <w:pPr>
        <w:spacing w:line="252" w:lineRule="auto"/>
        <w:ind w:left="567"/>
        <w:jc w:val="both"/>
        <w:rPr>
          <w:rFonts w:ascii="Garamond" w:hAnsi="Garamond"/>
          <w:i/>
          <w:iCs/>
        </w:rPr>
      </w:pPr>
    </w:p>
    <w:p w14:paraId="6B2D0EC7" w14:textId="0234F188" w:rsidR="00883991" w:rsidRPr="00E25C9A" w:rsidRDefault="00E25C9A" w:rsidP="00E25C9A">
      <w:pPr>
        <w:spacing w:line="252" w:lineRule="auto"/>
        <w:ind w:left="567"/>
        <w:jc w:val="both"/>
        <w:rPr>
          <w:rFonts w:ascii="Garamond" w:hAnsi="Garamond"/>
          <w:i/>
          <w:iCs/>
        </w:rPr>
      </w:pPr>
      <w:r w:rsidRPr="00E25C9A">
        <w:rPr>
          <w:rFonts w:ascii="Garamond" w:hAnsi="Garamond"/>
          <w:i/>
          <w:iCs/>
        </w:rPr>
        <w:t xml:space="preserve">14. Enfin, au regard du quantum du préjudice constaté, il apparaît raisonnable que cette réparation soit </w:t>
      </w:r>
      <w:r w:rsidRPr="00E25C9A">
        <w:rPr>
          <w:rFonts w:ascii="Garamond" w:hAnsi="Garamond"/>
          <w:i/>
          <w:iCs/>
          <w:u w:val="single"/>
        </w:rPr>
        <w:t>effective au 31 décembre 2022, au plus tard</w:t>
      </w:r>
      <w:r w:rsidRPr="00E25C9A">
        <w:rPr>
          <w:rFonts w:ascii="Garamond" w:hAnsi="Garamond"/>
          <w:i/>
          <w:iCs/>
        </w:rPr>
        <w:t xml:space="preserve">. </w:t>
      </w:r>
      <w:r>
        <w:rPr>
          <w:rFonts w:ascii="Garamond" w:hAnsi="Garamond"/>
        </w:rPr>
        <w:t>[…]</w:t>
      </w:r>
      <w:r w:rsidR="00767F99">
        <w:rPr>
          <w:rFonts w:ascii="Garamond" w:hAnsi="Garamond"/>
        </w:rPr>
        <w:t> » (</w:t>
      </w:r>
      <w:r w:rsidR="00767F99" w:rsidRPr="00767F99">
        <w:rPr>
          <w:rFonts w:ascii="Garamond" w:hAnsi="Garamond"/>
          <w:b/>
          <w:bCs/>
          <w:u w:val="single"/>
        </w:rPr>
        <w:t>Production n° 2</w:t>
      </w:r>
      <w:r>
        <w:rPr>
          <w:rFonts w:ascii="Garamond" w:hAnsi="Garamond"/>
        </w:rPr>
        <w:t> ; soulignement ajouté).</w:t>
      </w:r>
    </w:p>
    <w:p w14:paraId="59F8AC55" w14:textId="77777777" w:rsidR="00591D4A" w:rsidRPr="00F52A38" w:rsidRDefault="00591D4A" w:rsidP="00591D4A">
      <w:pPr>
        <w:spacing w:line="252" w:lineRule="auto"/>
        <w:jc w:val="both"/>
        <w:rPr>
          <w:rFonts w:ascii="Garamond" w:hAnsi="Garamond"/>
        </w:rPr>
      </w:pPr>
    </w:p>
    <w:p w14:paraId="33F8302A" w14:textId="77777777" w:rsidR="00591D4A" w:rsidRPr="00F52A38" w:rsidRDefault="00591D4A" w:rsidP="00591D4A">
      <w:pPr>
        <w:numPr>
          <w:ilvl w:val="0"/>
          <w:numId w:val="1"/>
        </w:numPr>
        <w:spacing w:line="252" w:lineRule="auto"/>
        <w:ind w:left="0" w:firstLine="0"/>
        <w:jc w:val="both"/>
        <w:rPr>
          <w:rFonts w:ascii="Garamond" w:hAnsi="Garamond"/>
        </w:rPr>
      </w:pPr>
    </w:p>
    <w:p w14:paraId="535C9BB1" w14:textId="77777777" w:rsidR="00591D4A" w:rsidRPr="00F52A38" w:rsidRDefault="00591D4A" w:rsidP="00591D4A">
      <w:pPr>
        <w:spacing w:line="252" w:lineRule="auto"/>
        <w:jc w:val="both"/>
        <w:rPr>
          <w:rFonts w:ascii="Garamond" w:hAnsi="Garamond"/>
        </w:rPr>
      </w:pPr>
    </w:p>
    <w:p w14:paraId="2F373167" w14:textId="1E0120A3" w:rsidR="00883991" w:rsidRPr="00E25C9A" w:rsidRDefault="00B25888" w:rsidP="00F52A38">
      <w:pPr>
        <w:spacing w:line="252" w:lineRule="auto"/>
        <w:jc w:val="both"/>
        <w:rPr>
          <w:rFonts w:ascii="Garamond" w:hAnsi="Garamond"/>
          <w:i/>
          <w:iCs/>
        </w:rPr>
      </w:pPr>
      <w:r>
        <w:rPr>
          <w:rFonts w:ascii="Garamond" w:hAnsi="Garamond"/>
        </w:rPr>
        <w:t>Le 20 décembre 2022, les associations Notre Affaire À Tous, Oxfam France et Greenpeace France ont sollicité de la Première Ministre, du Ministre de la Transition écologique et de la Cohésion des territoires et de la Ministre de la Transition énergétique, sur le fondement des articles L. 124-1 et suivants du Code de l</w:t>
      </w:r>
      <w:r w:rsidR="00F86CA7">
        <w:rPr>
          <w:rFonts w:ascii="Garamond" w:hAnsi="Garamond"/>
        </w:rPr>
        <w:t>’</w:t>
      </w:r>
      <w:r>
        <w:rPr>
          <w:rFonts w:ascii="Garamond" w:hAnsi="Garamond"/>
        </w:rPr>
        <w:t>environnement, la communication de l</w:t>
      </w:r>
      <w:r w:rsidR="00F86CA7">
        <w:rPr>
          <w:rFonts w:ascii="Garamond" w:hAnsi="Garamond"/>
        </w:rPr>
        <w:t>’</w:t>
      </w:r>
      <w:r>
        <w:rPr>
          <w:rFonts w:ascii="Garamond" w:hAnsi="Garamond"/>
        </w:rPr>
        <w:t>ensemble des informations relatives aux mesures prises pour assurer l</w:t>
      </w:r>
      <w:r w:rsidR="00F86CA7">
        <w:rPr>
          <w:rFonts w:ascii="Garamond" w:hAnsi="Garamond"/>
        </w:rPr>
        <w:t>’</w:t>
      </w:r>
      <w:r>
        <w:rPr>
          <w:rFonts w:ascii="Garamond" w:hAnsi="Garamond"/>
        </w:rPr>
        <w:t>exécution du jugement rendu le 14 octobre 2021 et, plus précisément, de « </w:t>
      </w:r>
      <w:r w:rsidRPr="00E25C9A">
        <w:rPr>
          <w:rFonts w:ascii="Garamond" w:hAnsi="Garamond"/>
          <w:i/>
          <w:iCs/>
        </w:rPr>
        <w:t>toute information disponible, quel qu</w:t>
      </w:r>
      <w:r w:rsidR="00F86CA7">
        <w:rPr>
          <w:rFonts w:ascii="Garamond" w:hAnsi="Garamond"/>
          <w:i/>
          <w:iCs/>
        </w:rPr>
        <w:t>’</w:t>
      </w:r>
      <w:r w:rsidRPr="00E25C9A">
        <w:rPr>
          <w:rFonts w:ascii="Garamond" w:hAnsi="Garamond"/>
          <w:i/>
          <w:iCs/>
        </w:rPr>
        <w:t xml:space="preserve">en soit le support, concernant : </w:t>
      </w:r>
    </w:p>
    <w:p w14:paraId="7F900E7C" w14:textId="77777777" w:rsidR="00E25C9A" w:rsidRPr="00E25C9A" w:rsidRDefault="00E25C9A" w:rsidP="00E25C9A">
      <w:pPr>
        <w:jc w:val="both"/>
        <w:rPr>
          <w:rFonts w:ascii="Garamond" w:hAnsi="Garamond"/>
          <w:i/>
          <w:iCs/>
        </w:rPr>
      </w:pPr>
    </w:p>
    <w:p w14:paraId="54889718" w14:textId="27E8F0C5" w:rsidR="00E25C9A" w:rsidRPr="00E25C9A" w:rsidRDefault="00E25C9A" w:rsidP="00E25C9A">
      <w:pPr>
        <w:pStyle w:val="Paragraphedeliste"/>
        <w:numPr>
          <w:ilvl w:val="0"/>
          <w:numId w:val="37"/>
        </w:numPr>
        <w:jc w:val="both"/>
        <w:rPr>
          <w:rFonts w:ascii="Garamond" w:hAnsi="Garamond"/>
          <w:i/>
          <w:iCs/>
        </w:rPr>
      </w:pPr>
      <w:r w:rsidRPr="00E25C9A">
        <w:rPr>
          <w:rFonts w:ascii="Garamond" w:hAnsi="Garamond"/>
          <w:i/>
          <w:iCs/>
        </w:rPr>
        <w:t>les mesures sectorielles adoptées, postérieurement au 14 octobre 2021, pour assurer la réparation du préjudice écologique lié au surplus d</w:t>
      </w:r>
      <w:r w:rsidR="00F86CA7">
        <w:rPr>
          <w:rFonts w:ascii="Garamond" w:hAnsi="Garamond"/>
          <w:i/>
          <w:iCs/>
        </w:rPr>
        <w:t>’</w:t>
      </w:r>
      <w:r w:rsidRPr="00E25C9A">
        <w:rPr>
          <w:rFonts w:ascii="Garamond" w:hAnsi="Garamond"/>
          <w:i/>
          <w:iCs/>
        </w:rPr>
        <w:t>émissions de GES résultant du non-respect du premier budget carbone et prévenir l</w:t>
      </w:r>
      <w:r w:rsidR="00F86CA7">
        <w:rPr>
          <w:rFonts w:ascii="Garamond" w:hAnsi="Garamond"/>
          <w:i/>
          <w:iCs/>
        </w:rPr>
        <w:t>’</w:t>
      </w:r>
      <w:r w:rsidRPr="00E25C9A">
        <w:rPr>
          <w:rFonts w:ascii="Garamond" w:hAnsi="Garamond"/>
          <w:i/>
          <w:iCs/>
        </w:rPr>
        <w:t>aggravation des dommages résultant de la persistance des GES dans l</w:t>
      </w:r>
      <w:r w:rsidR="00F86CA7">
        <w:rPr>
          <w:rFonts w:ascii="Garamond" w:hAnsi="Garamond"/>
          <w:i/>
          <w:iCs/>
        </w:rPr>
        <w:t>’</w:t>
      </w:r>
      <w:r w:rsidRPr="00E25C9A">
        <w:rPr>
          <w:rFonts w:ascii="Garamond" w:hAnsi="Garamond"/>
          <w:i/>
          <w:iCs/>
        </w:rPr>
        <w:t xml:space="preserve">atmosphère ; </w:t>
      </w:r>
    </w:p>
    <w:p w14:paraId="17194ADD" w14:textId="77777777" w:rsidR="00E25C9A" w:rsidRPr="00E25C9A" w:rsidRDefault="00E25C9A" w:rsidP="00E25C9A">
      <w:pPr>
        <w:pStyle w:val="Paragraphedeliste"/>
        <w:jc w:val="both"/>
        <w:rPr>
          <w:rFonts w:ascii="Garamond" w:hAnsi="Garamond"/>
          <w:i/>
          <w:iCs/>
        </w:rPr>
      </w:pPr>
    </w:p>
    <w:p w14:paraId="4059BD47" w14:textId="3836F109" w:rsidR="00E25C9A" w:rsidRPr="00E25C9A" w:rsidRDefault="00E25C9A" w:rsidP="00E25C9A">
      <w:pPr>
        <w:pStyle w:val="Paragraphedeliste"/>
        <w:numPr>
          <w:ilvl w:val="0"/>
          <w:numId w:val="37"/>
        </w:numPr>
        <w:jc w:val="both"/>
        <w:rPr>
          <w:rFonts w:ascii="Garamond" w:hAnsi="Garamond"/>
          <w:i/>
          <w:iCs/>
        </w:rPr>
      </w:pPr>
      <w:r w:rsidRPr="00E25C9A">
        <w:rPr>
          <w:rFonts w:ascii="Garamond" w:hAnsi="Garamond"/>
          <w:i/>
          <w:iCs/>
        </w:rPr>
        <w:t>l</w:t>
      </w:r>
      <w:r w:rsidR="00F86CA7">
        <w:rPr>
          <w:rFonts w:ascii="Garamond" w:hAnsi="Garamond"/>
          <w:i/>
          <w:iCs/>
        </w:rPr>
        <w:t>’</w:t>
      </w:r>
      <w:r w:rsidRPr="00E25C9A">
        <w:rPr>
          <w:rFonts w:ascii="Garamond" w:hAnsi="Garamond"/>
          <w:i/>
          <w:iCs/>
        </w:rPr>
        <w:t>impact de ces mesures sur la réparation du préjudice écologique et la prévention de l</w:t>
      </w:r>
      <w:r w:rsidR="00F86CA7">
        <w:rPr>
          <w:rFonts w:ascii="Garamond" w:hAnsi="Garamond"/>
          <w:i/>
          <w:iCs/>
        </w:rPr>
        <w:t>’</w:t>
      </w:r>
      <w:r w:rsidRPr="00E25C9A">
        <w:rPr>
          <w:rFonts w:ascii="Garamond" w:hAnsi="Garamond"/>
          <w:i/>
          <w:iCs/>
        </w:rPr>
        <w:t xml:space="preserve">aggravation des dommages ; </w:t>
      </w:r>
    </w:p>
    <w:p w14:paraId="4DBF2116" w14:textId="77777777" w:rsidR="00E25C9A" w:rsidRPr="00E25C9A" w:rsidRDefault="00E25C9A" w:rsidP="00E25C9A">
      <w:pPr>
        <w:pStyle w:val="Paragraphedeliste"/>
        <w:rPr>
          <w:rFonts w:ascii="Garamond" w:hAnsi="Garamond"/>
          <w:i/>
          <w:iCs/>
        </w:rPr>
      </w:pPr>
    </w:p>
    <w:p w14:paraId="38653018" w14:textId="77777777" w:rsidR="00E25C9A" w:rsidRPr="00E25C9A" w:rsidRDefault="00E25C9A" w:rsidP="00E25C9A">
      <w:pPr>
        <w:pStyle w:val="Paragraphedeliste"/>
        <w:numPr>
          <w:ilvl w:val="0"/>
          <w:numId w:val="37"/>
        </w:numPr>
        <w:jc w:val="both"/>
        <w:rPr>
          <w:rFonts w:ascii="Garamond" w:hAnsi="Garamond"/>
          <w:i/>
          <w:iCs/>
        </w:rPr>
      </w:pPr>
      <w:r w:rsidRPr="00E25C9A">
        <w:rPr>
          <w:rFonts w:ascii="Garamond" w:hAnsi="Garamond"/>
          <w:i/>
          <w:iCs/>
        </w:rPr>
        <w:t>les mesures adoptées, postérieurement au 14 octobre 2021, de nature à réduire les émissions de GES produites sur le territoire national ;</w:t>
      </w:r>
    </w:p>
    <w:p w14:paraId="1CF2E02A" w14:textId="77777777" w:rsidR="00E25C9A" w:rsidRPr="00E25C9A" w:rsidRDefault="00E25C9A" w:rsidP="00E25C9A">
      <w:pPr>
        <w:pStyle w:val="Paragraphedeliste"/>
        <w:jc w:val="both"/>
        <w:rPr>
          <w:rFonts w:ascii="Garamond" w:hAnsi="Garamond"/>
          <w:i/>
          <w:iCs/>
        </w:rPr>
      </w:pPr>
    </w:p>
    <w:p w14:paraId="2C8E5DC3" w14:textId="615E0D27" w:rsidR="00E25C9A" w:rsidRPr="00E25C9A" w:rsidRDefault="00E25C9A" w:rsidP="00E25C9A">
      <w:pPr>
        <w:pStyle w:val="Paragraphedeliste"/>
        <w:numPr>
          <w:ilvl w:val="0"/>
          <w:numId w:val="37"/>
        </w:numPr>
        <w:jc w:val="both"/>
        <w:rPr>
          <w:rFonts w:ascii="Garamond" w:hAnsi="Garamond"/>
          <w:i/>
          <w:iCs/>
        </w:rPr>
      </w:pPr>
      <w:r w:rsidRPr="00E25C9A">
        <w:rPr>
          <w:rFonts w:ascii="Garamond" w:hAnsi="Garamond"/>
          <w:i/>
          <w:iCs/>
        </w:rPr>
        <w:t>l</w:t>
      </w:r>
      <w:r w:rsidR="00F86CA7">
        <w:rPr>
          <w:rFonts w:ascii="Garamond" w:hAnsi="Garamond"/>
          <w:i/>
          <w:iCs/>
        </w:rPr>
        <w:t>’</w:t>
      </w:r>
      <w:r w:rsidRPr="00E25C9A">
        <w:rPr>
          <w:rFonts w:ascii="Garamond" w:hAnsi="Garamond"/>
          <w:i/>
          <w:iCs/>
        </w:rPr>
        <w:t>évaluation, en MtCO</w:t>
      </w:r>
      <w:r w:rsidRPr="00E25C9A">
        <w:rPr>
          <w:rFonts w:ascii="Garamond" w:hAnsi="Garamond"/>
          <w:i/>
          <w:iCs/>
          <w:vertAlign w:val="subscript"/>
        </w:rPr>
        <w:t>2</w:t>
      </w:r>
      <w:r w:rsidRPr="00E25C9A">
        <w:rPr>
          <w:rFonts w:ascii="Garamond" w:hAnsi="Garamond"/>
          <w:i/>
          <w:iCs/>
        </w:rPr>
        <w:t>eq, de l</w:t>
      </w:r>
      <w:r w:rsidR="00F86CA7">
        <w:rPr>
          <w:rFonts w:ascii="Garamond" w:hAnsi="Garamond"/>
          <w:i/>
          <w:iCs/>
        </w:rPr>
        <w:t>’</w:t>
      </w:r>
      <w:r w:rsidRPr="00E25C9A">
        <w:rPr>
          <w:rFonts w:ascii="Garamond" w:hAnsi="Garamond"/>
          <w:i/>
          <w:iCs/>
        </w:rPr>
        <w:t>impact de ces mesures sur les niveaux d</w:t>
      </w:r>
      <w:r w:rsidR="00F86CA7">
        <w:rPr>
          <w:rFonts w:ascii="Garamond" w:hAnsi="Garamond"/>
          <w:i/>
          <w:iCs/>
        </w:rPr>
        <w:t>’</w:t>
      </w:r>
      <w:r w:rsidRPr="00E25C9A">
        <w:rPr>
          <w:rFonts w:ascii="Garamond" w:hAnsi="Garamond"/>
          <w:i/>
          <w:iCs/>
        </w:rPr>
        <w:t xml:space="preserve">émissions de GES ; </w:t>
      </w:r>
    </w:p>
    <w:p w14:paraId="6CAFC5A6" w14:textId="77777777" w:rsidR="00E25C9A" w:rsidRPr="00E25C9A" w:rsidRDefault="00E25C9A" w:rsidP="00E25C9A">
      <w:pPr>
        <w:rPr>
          <w:rFonts w:ascii="Garamond" w:hAnsi="Garamond"/>
          <w:i/>
          <w:iCs/>
        </w:rPr>
      </w:pPr>
    </w:p>
    <w:p w14:paraId="2E3E59E8" w14:textId="77777777" w:rsidR="00E25C9A" w:rsidRPr="00E25C9A" w:rsidRDefault="00E25C9A" w:rsidP="00E25C9A">
      <w:pPr>
        <w:pStyle w:val="Paragraphedeliste"/>
        <w:numPr>
          <w:ilvl w:val="0"/>
          <w:numId w:val="37"/>
        </w:numPr>
        <w:jc w:val="both"/>
        <w:rPr>
          <w:rFonts w:ascii="Garamond" w:hAnsi="Garamond"/>
          <w:i/>
          <w:iCs/>
        </w:rPr>
      </w:pPr>
      <w:r w:rsidRPr="00E25C9A">
        <w:rPr>
          <w:rFonts w:ascii="Garamond" w:hAnsi="Garamond"/>
          <w:i/>
          <w:iCs/>
        </w:rPr>
        <w:t>la date à laquelle la réparation du préjudice écologique sera effective, ainsi que la date à laquelle les mesures adoptées ont produit, ou produiront, leurs effets en matière de diminution des émissions de GES ;</w:t>
      </w:r>
    </w:p>
    <w:p w14:paraId="290BE2A3" w14:textId="77777777" w:rsidR="00E25C9A" w:rsidRPr="00E25C9A" w:rsidRDefault="00E25C9A" w:rsidP="00E25C9A">
      <w:pPr>
        <w:rPr>
          <w:rFonts w:ascii="Garamond" w:hAnsi="Garamond"/>
          <w:i/>
          <w:iCs/>
        </w:rPr>
      </w:pPr>
    </w:p>
    <w:p w14:paraId="48025A63" w14:textId="43A775A0" w:rsidR="00E25C9A" w:rsidRPr="00E25C9A" w:rsidRDefault="00E25C9A" w:rsidP="00E25C9A">
      <w:pPr>
        <w:pStyle w:val="Paragraphedeliste"/>
        <w:numPr>
          <w:ilvl w:val="0"/>
          <w:numId w:val="37"/>
        </w:numPr>
        <w:jc w:val="both"/>
        <w:rPr>
          <w:rFonts w:ascii="Garamond" w:hAnsi="Garamond"/>
          <w:i/>
          <w:iCs/>
        </w:rPr>
      </w:pPr>
      <w:r w:rsidRPr="00E25C9A">
        <w:rPr>
          <w:rFonts w:ascii="Garamond" w:hAnsi="Garamond"/>
          <w:i/>
          <w:iCs/>
        </w:rPr>
        <w:lastRenderedPageBreak/>
        <w:t>les mesures adoptées, postérieurement au 14 octobre 2021, de nature à augmenter les émissions de GES produites sur le territoire national (s</w:t>
      </w:r>
      <w:r w:rsidR="00F86CA7">
        <w:rPr>
          <w:rFonts w:ascii="Garamond" w:hAnsi="Garamond"/>
          <w:i/>
          <w:iCs/>
        </w:rPr>
        <w:t>’</w:t>
      </w:r>
      <w:r w:rsidRPr="00E25C9A">
        <w:rPr>
          <w:rFonts w:ascii="Garamond" w:hAnsi="Garamond"/>
          <w:i/>
          <w:iCs/>
        </w:rPr>
        <w:t>agissant, par exemple, du projet d</w:t>
      </w:r>
      <w:r w:rsidR="00F86CA7">
        <w:rPr>
          <w:rFonts w:ascii="Garamond" w:hAnsi="Garamond"/>
          <w:i/>
          <w:iCs/>
        </w:rPr>
        <w:t>’</w:t>
      </w:r>
      <w:r w:rsidRPr="00E25C9A">
        <w:rPr>
          <w:rFonts w:ascii="Garamond" w:hAnsi="Garamond"/>
          <w:i/>
          <w:iCs/>
        </w:rPr>
        <w:t>installation d</w:t>
      </w:r>
      <w:r w:rsidR="00F86CA7">
        <w:rPr>
          <w:rFonts w:ascii="Garamond" w:hAnsi="Garamond"/>
          <w:i/>
          <w:iCs/>
        </w:rPr>
        <w:t>’</w:t>
      </w:r>
      <w:r w:rsidRPr="00E25C9A">
        <w:rPr>
          <w:rFonts w:ascii="Garamond" w:hAnsi="Garamond"/>
          <w:i/>
          <w:iCs/>
        </w:rPr>
        <w:t>un terminal méthanier flottant dans le port du Havre, ou de la réouverture de centrales à charbon), ainsi que l</w:t>
      </w:r>
      <w:r w:rsidR="00F86CA7">
        <w:rPr>
          <w:rFonts w:ascii="Garamond" w:hAnsi="Garamond"/>
          <w:i/>
          <w:iCs/>
        </w:rPr>
        <w:t>’</w:t>
      </w:r>
      <w:r w:rsidRPr="00E25C9A">
        <w:rPr>
          <w:rFonts w:ascii="Garamond" w:hAnsi="Garamond"/>
          <w:i/>
          <w:iCs/>
        </w:rPr>
        <w:t>évaluation de l</w:t>
      </w:r>
      <w:r w:rsidR="00F86CA7">
        <w:rPr>
          <w:rFonts w:ascii="Garamond" w:hAnsi="Garamond"/>
          <w:i/>
          <w:iCs/>
        </w:rPr>
        <w:t>’</w:t>
      </w:r>
      <w:r w:rsidRPr="00E25C9A">
        <w:rPr>
          <w:rFonts w:ascii="Garamond" w:hAnsi="Garamond"/>
          <w:i/>
          <w:iCs/>
        </w:rPr>
        <w:t>impact de ces mesures en MtCO</w:t>
      </w:r>
      <w:r w:rsidRPr="00E25C9A">
        <w:rPr>
          <w:rFonts w:ascii="Garamond" w:hAnsi="Garamond"/>
          <w:i/>
          <w:iCs/>
          <w:vertAlign w:val="subscript"/>
        </w:rPr>
        <w:t>2</w:t>
      </w:r>
      <w:r w:rsidRPr="00E25C9A">
        <w:rPr>
          <w:rFonts w:ascii="Garamond" w:hAnsi="Garamond"/>
          <w:i/>
          <w:iCs/>
        </w:rPr>
        <w:t xml:space="preserve">eq et, le cas échéant, les modalités de compensation de ces émissions supplémentaires ; </w:t>
      </w:r>
    </w:p>
    <w:p w14:paraId="1D525345" w14:textId="77777777" w:rsidR="00E25C9A" w:rsidRPr="00E25C9A" w:rsidRDefault="00E25C9A" w:rsidP="00E25C9A">
      <w:pPr>
        <w:pStyle w:val="Paragraphedeliste"/>
        <w:rPr>
          <w:rFonts w:ascii="Garamond" w:hAnsi="Garamond"/>
          <w:i/>
          <w:iCs/>
        </w:rPr>
      </w:pPr>
    </w:p>
    <w:p w14:paraId="7A514698" w14:textId="72C0A6F9" w:rsidR="00E25C9A" w:rsidRPr="004F46B5" w:rsidRDefault="00E25C9A" w:rsidP="00E25C9A">
      <w:pPr>
        <w:pStyle w:val="Paragraphedeliste"/>
        <w:numPr>
          <w:ilvl w:val="0"/>
          <w:numId w:val="37"/>
        </w:numPr>
        <w:jc w:val="both"/>
        <w:rPr>
          <w:rFonts w:ascii="Garamond" w:hAnsi="Garamond"/>
        </w:rPr>
      </w:pPr>
      <w:r w:rsidRPr="00E25C9A">
        <w:rPr>
          <w:rFonts w:ascii="Garamond" w:hAnsi="Garamond"/>
          <w:i/>
          <w:iCs/>
        </w:rPr>
        <w:t>l</w:t>
      </w:r>
      <w:r w:rsidR="00F86CA7">
        <w:rPr>
          <w:rFonts w:ascii="Garamond" w:hAnsi="Garamond"/>
          <w:i/>
          <w:iCs/>
        </w:rPr>
        <w:t>’</w:t>
      </w:r>
      <w:r w:rsidRPr="00E25C9A">
        <w:rPr>
          <w:rFonts w:ascii="Garamond" w:hAnsi="Garamond"/>
          <w:i/>
          <w:iCs/>
        </w:rPr>
        <w:t>impact des mesures adoptées, postérieurement au 14 octobre 2021, sur le respect des futurs budget carbone et de l</w:t>
      </w:r>
      <w:r w:rsidR="00F86CA7">
        <w:rPr>
          <w:rFonts w:ascii="Garamond" w:hAnsi="Garamond"/>
          <w:i/>
          <w:iCs/>
        </w:rPr>
        <w:t>’</w:t>
      </w:r>
      <w:r w:rsidRPr="00E25C9A">
        <w:rPr>
          <w:rFonts w:ascii="Garamond" w:hAnsi="Garamond"/>
          <w:i/>
          <w:iCs/>
        </w:rPr>
        <w:t>objectif de réduction des émissions de GES de 40 % d</w:t>
      </w:r>
      <w:r w:rsidR="00F86CA7">
        <w:rPr>
          <w:rFonts w:ascii="Garamond" w:hAnsi="Garamond"/>
          <w:i/>
          <w:iCs/>
        </w:rPr>
        <w:t>’</w:t>
      </w:r>
      <w:r w:rsidRPr="00E25C9A">
        <w:rPr>
          <w:rFonts w:ascii="Garamond" w:hAnsi="Garamond"/>
          <w:i/>
          <w:iCs/>
        </w:rPr>
        <w:t>ici 2030, fixé par l</w:t>
      </w:r>
      <w:r w:rsidR="00F86CA7">
        <w:rPr>
          <w:rFonts w:ascii="Garamond" w:hAnsi="Garamond"/>
          <w:i/>
          <w:iCs/>
        </w:rPr>
        <w:t>’</w:t>
      </w:r>
      <w:r w:rsidRPr="00E25C9A">
        <w:rPr>
          <w:rFonts w:ascii="Garamond" w:hAnsi="Garamond"/>
          <w:i/>
          <w:iCs/>
        </w:rPr>
        <w:t>article L. 100-4 du Code de l</w:t>
      </w:r>
      <w:r w:rsidR="00F86CA7">
        <w:rPr>
          <w:rFonts w:ascii="Garamond" w:hAnsi="Garamond"/>
          <w:i/>
          <w:iCs/>
        </w:rPr>
        <w:t>’</w:t>
      </w:r>
      <w:r w:rsidRPr="00E25C9A">
        <w:rPr>
          <w:rFonts w:ascii="Garamond" w:hAnsi="Garamond"/>
          <w:i/>
          <w:iCs/>
        </w:rPr>
        <w:t>énergie</w:t>
      </w:r>
      <w:r>
        <w:rPr>
          <w:rFonts w:ascii="Garamond" w:hAnsi="Garamond"/>
        </w:rPr>
        <w:t> » (</w:t>
      </w:r>
      <w:r w:rsidRPr="00E25C9A">
        <w:rPr>
          <w:rFonts w:ascii="Garamond" w:hAnsi="Garamond"/>
          <w:b/>
          <w:bCs/>
          <w:u w:val="single"/>
        </w:rPr>
        <w:t>Production n° 3</w:t>
      </w:r>
      <w:r>
        <w:rPr>
          <w:rFonts w:ascii="Garamond" w:hAnsi="Garamond"/>
        </w:rPr>
        <w:t xml:space="preserve">). </w:t>
      </w:r>
    </w:p>
    <w:p w14:paraId="1B0E2ED4" w14:textId="77777777" w:rsidR="00E25C9A" w:rsidRDefault="00E25C9A" w:rsidP="00E25C9A">
      <w:pPr>
        <w:jc w:val="both"/>
        <w:rPr>
          <w:rFonts w:ascii="Garamond" w:hAnsi="Garamond"/>
        </w:rPr>
      </w:pPr>
    </w:p>
    <w:p w14:paraId="5DA4A736" w14:textId="2F371C92" w:rsidR="00984D45" w:rsidRPr="00F52A38" w:rsidRDefault="00E25C9A" w:rsidP="00984D45">
      <w:pPr>
        <w:spacing w:line="252" w:lineRule="auto"/>
        <w:jc w:val="both"/>
        <w:rPr>
          <w:rFonts w:ascii="Garamond" w:hAnsi="Garamond"/>
        </w:rPr>
      </w:pPr>
      <w:r>
        <w:rPr>
          <w:rFonts w:ascii="Garamond" w:hAnsi="Garamond"/>
        </w:rPr>
        <w:t xml:space="preserve">Cette demande est toutefois restée sans réponse. </w:t>
      </w:r>
    </w:p>
    <w:p w14:paraId="198491F1" w14:textId="77777777" w:rsidR="00450CFA" w:rsidRPr="00F52A38" w:rsidRDefault="00450CFA" w:rsidP="00450CFA">
      <w:pPr>
        <w:spacing w:line="252" w:lineRule="auto"/>
        <w:jc w:val="both"/>
        <w:rPr>
          <w:rFonts w:ascii="Garamond" w:hAnsi="Garamond"/>
        </w:rPr>
      </w:pPr>
    </w:p>
    <w:p w14:paraId="0DDF8932" w14:textId="77777777" w:rsidR="00450CFA" w:rsidRPr="00F52A38" w:rsidRDefault="00450CFA" w:rsidP="00450CFA">
      <w:pPr>
        <w:numPr>
          <w:ilvl w:val="0"/>
          <w:numId w:val="1"/>
        </w:numPr>
        <w:spacing w:line="252" w:lineRule="auto"/>
        <w:ind w:left="0" w:firstLine="0"/>
        <w:jc w:val="both"/>
        <w:rPr>
          <w:rFonts w:ascii="Garamond" w:hAnsi="Garamond"/>
        </w:rPr>
      </w:pPr>
    </w:p>
    <w:p w14:paraId="5A7C4F4A" w14:textId="77777777" w:rsidR="00B25888" w:rsidRDefault="00B25888" w:rsidP="00F52A38">
      <w:pPr>
        <w:spacing w:line="252" w:lineRule="auto"/>
        <w:jc w:val="both"/>
        <w:rPr>
          <w:rFonts w:ascii="Garamond" w:hAnsi="Garamond"/>
        </w:rPr>
      </w:pPr>
    </w:p>
    <w:p w14:paraId="080ECFA5" w14:textId="2B84916C" w:rsidR="00883991" w:rsidRDefault="000E4514" w:rsidP="00F52A38">
      <w:pPr>
        <w:spacing w:line="252" w:lineRule="auto"/>
        <w:jc w:val="both"/>
        <w:rPr>
          <w:rFonts w:ascii="Garamond" w:hAnsi="Garamond"/>
        </w:rPr>
      </w:pPr>
      <w:r>
        <w:rPr>
          <w:rFonts w:ascii="Garamond" w:hAnsi="Garamond"/>
        </w:rPr>
        <w:t>En outre</w:t>
      </w:r>
      <w:r w:rsidR="00450CFA">
        <w:rPr>
          <w:rFonts w:ascii="Garamond" w:hAnsi="Garamond"/>
        </w:rPr>
        <w:t>, il apparaît qu</w:t>
      </w:r>
      <w:r w:rsidR="00F86CA7">
        <w:rPr>
          <w:rFonts w:ascii="Garamond" w:hAnsi="Garamond"/>
        </w:rPr>
        <w:t>’</w:t>
      </w:r>
      <w:r w:rsidR="00450CFA">
        <w:rPr>
          <w:rFonts w:ascii="Garamond" w:hAnsi="Garamond"/>
        </w:rPr>
        <w:t>en dépit de</w:t>
      </w:r>
      <w:r>
        <w:rPr>
          <w:rFonts w:ascii="Garamond" w:hAnsi="Garamond"/>
        </w:rPr>
        <w:t xml:space="preserve"> l</w:t>
      </w:r>
      <w:r w:rsidR="00F86CA7">
        <w:rPr>
          <w:rFonts w:ascii="Garamond" w:hAnsi="Garamond"/>
        </w:rPr>
        <w:t>’</w:t>
      </w:r>
      <w:r>
        <w:rPr>
          <w:rFonts w:ascii="Garamond" w:hAnsi="Garamond"/>
        </w:rPr>
        <w:t>urgence climatique caractérisée, et des risques d</w:t>
      </w:r>
      <w:r w:rsidR="00F86CA7">
        <w:rPr>
          <w:rFonts w:ascii="Garamond" w:hAnsi="Garamond"/>
        </w:rPr>
        <w:t>’</w:t>
      </w:r>
      <w:r>
        <w:rPr>
          <w:rFonts w:ascii="Garamond" w:hAnsi="Garamond"/>
        </w:rPr>
        <w:t>atteintes graves à l</w:t>
      </w:r>
      <w:r w:rsidR="00F86CA7">
        <w:rPr>
          <w:rFonts w:ascii="Garamond" w:hAnsi="Garamond"/>
        </w:rPr>
        <w:t>’</w:t>
      </w:r>
      <w:r>
        <w:rPr>
          <w:rFonts w:ascii="Garamond" w:hAnsi="Garamond"/>
        </w:rPr>
        <w:t>environnement et à la santé liés au changement climatique</w:t>
      </w:r>
      <w:r w:rsidR="00450CFA">
        <w:rPr>
          <w:rFonts w:ascii="Garamond" w:hAnsi="Garamond"/>
        </w:rPr>
        <w:t>, l</w:t>
      </w:r>
      <w:r w:rsidR="00F86CA7">
        <w:rPr>
          <w:rFonts w:ascii="Garamond" w:hAnsi="Garamond"/>
        </w:rPr>
        <w:t>’</w:t>
      </w:r>
      <w:r w:rsidR="00450CFA">
        <w:rPr>
          <w:rFonts w:ascii="Garamond" w:hAnsi="Garamond"/>
        </w:rPr>
        <w:t>État n</w:t>
      </w:r>
      <w:r w:rsidR="00F86CA7">
        <w:rPr>
          <w:rFonts w:ascii="Garamond" w:hAnsi="Garamond"/>
        </w:rPr>
        <w:t>’</w:t>
      </w:r>
      <w:r w:rsidR="00450CFA">
        <w:rPr>
          <w:rFonts w:ascii="Garamond" w:hAnsi="Garamond"/>
        </w:rPr>
        <w:t xml:space="preserve">a pas </w:t>
      </w:r>
      <w:r w:rsidR="004746BB">
        <w:rPr>
          <w:rFonts w:ascii="Garamond" w:hAnsi="Garamond"/>
        </w:rPr>
        <w:t xml:space="preserve">intégralement </w:t>
      </w:r>
      <w:r w:rsidR="00450CFA">
        <w:rPr>
          <w:rFonts w:ascii="Garamond" w:hAnsi="Garamond"/>
        </w:rPr>
        <w:t xml:space="preserve">exécuté </w:t>
      </w:r>
      <w:r w:rsidR="00984D45">
        <w:rPr>
          <w:rFonts w:ascii="Garamond" w:hAnsi="Garamond"/>
        </w:rPr>
        <w:t xml:space="preserve">le jugement rendu par le Tribunal administratif de Paris le 14 octobre 2021 dans les délais prescrits. </w:t>
      </w:r>
    </w:p>
    <w:p w14:paraId="61D2C68E" w14:textId="77777777" w:rsidR="000E4514" w:rsidRDefault="000E4514" w:rsidP="00F52A38">
      <w:pPr>
        <w:spacing w:line="252" w:lineRule="auto"/>
        <w:jc w:val="both"/>
        <w:rPr>
          <w:rFonts w:ascii="Garamond" w:hAnsi="Garamond"/>
        </w:rPr>
      </w:pPr>
    </w:p>
    <w:p w14:paraId="0413F60F" w14:textId="2A530847" w:rsidR="004746BB" w:rsidRDefault="000E4514" w:rsidP="004746BB">
      <w:pPr>
        <w:tabs>
          <w:tab w:val="left" w:pos="6440"/>
        </w:tabs>
        <w:spacing w:line="252" w:lineRule="auto"/>
        <w:jc w:val="both"/>
        <w:rPr>
          <w:rFonts w:ascii="Garamond" w:hAnsi="Garamond"/>
          <w:color w:val="000000" w:themeColor="text1"/>
        </w:rPr>
      </w:pPr>
      <w:r>
        <w:rPr>
          <w:rFonts w:ascii="Garamond" w:hAnsi="Garamond"/>
        </w:rPr>
        <w:t xml:space="preserve">En </w:t>
      </w:r>
      <w:r w:rsidR="004746BB">
        <w:rPr>
          <w:rFonts w:ascii="Garamond" w:hAnsi="Garamond"/>
        </w:rPr>
        <w:t xml:space="preserve">effet, </w:t>
      </w:r>
      <w:r w:rsidR="004746BB" w:rsidRPr="00A76C93">
        <w:rPr>
          <w:rFonts w:ascii="Garamond" w:hAnsi="Garamond"/>
          <w:color w:val="000000" w:themeColor="text1"/>
        </w:rPr>
        <w:t>même à supposer que le surplus d</w:t>
      </w:r>
      <w:r w:rsidR="00F86CA7">
        <w:rPr>
          <w:rFonts w:ascii="Garamond" w:hAnsi="Garamond"/>
          <w:color w:val="000000" w:themeColor="text1"/>
        </w:rPr>
        <w:t>’</w:t>
      </w:r>
      <w:r w:rsidR="004746BB" w:rsidRPr="00A76C93">
        <w:rPr>
          <w:rFonts w:ascii="Garamond" w:hAnsi="Garamond"/>
          <w:color w:val="000000" w:themeColor="text1"/>
        </w:rPr>
        <w:t xml:space="preserve">émissions du premier budget carbone ait été compensé </w:t>
      </w:r>
      <w:r w:rsidR="004746BB">
        <w:rPr>
          <w:rFonts w:ascii="Garamond" w:hAnsi="Garamond"/>
          <w:color w:val="000000" w:themeColor="text1"/>
        </w:rPr>
        <w:t>d</w:t>
      </w:r>
      <w:r w:rsidR="00F86CA7">
        <w:rPr>
          <w:rFonts w:ascii="Garamond" w:hAnsi="Garamond"/>
          <w:color w:val="000000" w:themeColor="text1"/>
        </w:rPr>
        <w:t>’</w:t>
      </w:r>
      <w:r w:rsidR="004746BB">
        <w:rPr>
          <w:rFonts w:ascii="Garamond" w:hAnsi="Garamond"/>
          <w:color w:val="000000" w:themeColor="text1"/>
        </w:rPr>
        <w:t>un point de vue arithmétique, force serait de constater que les baisses d</w:t>
      </w:r>
      <w:r w:rsidR="00F86CA7">
        <w:rPr>
          <w:rFonts w:ascii="Garamond" w:hAnsi="Garamond"/>
          <w:color w:val="000000" w:themeColor="text1"/>
        </w:rPr>
        <w:t>’</w:t>
      </w:r>
      <w:r w:rsidR="004746BB">
        <w:rPr>
          <w:rFonts w:ascii="Garamond" w:hAnsi="Garamond"/>
          <w:color w:val="000000" w:themeColor="text1"/>
        </w:rPr>
        <w:t>émission</w:t>
      </w:r>
      <w:r w:rsidR="00A07440">
        <w:rPr>
          <w:rFonts w:ascii="Garamond" w:hAnsi="Garamond"/>
          <w:color w:val="000000" w:themeColor="text1"/>
        </w:rPr>
        <w:t>s</w:t>
      </w:r>
      <w:r w:rsidR="004746BB">
        <w:rPr>
          <w:rFonts w:ascii="Garamond" w:hAnsi="Garamond"/>
          <w:color w:val="000000" w:themeColor="text1"/>
        </w:rPr>
        <w:t xml:space="preserve"> constatées en 2021 et 2022 ne sont pas imputables à des mesures, ou des actions, spécifiquement entreprises par l</w:t>
      </w:r>
      <w:r w:rsidR="00F86CA7">
        <w:rPr>
          <w:rFonts w:ascii="Garamond" w:hAnsi="Garamond"/>
          <w:color w:val="000000" w:themeColor="text1"/>
        </w:rPr>
        <w:t>’</w:t>
      </w:r>
      <w:r w:rsidR="004746BB">
        <w:rPr>
          <w:rFonts w:ascii="Garamond" w:hAnsi="Garamond"/>
          <w:color w:val="000000" w:themeColor="text1"/>
        </w:rPr>
        <w:t xml:space="preserve">État pour réparer le préjudice écologique ou prévenir son aggravation. </w:t>
      </w:r>
    </w:p>
    <w:p w14:paraId="2EB2AF2D" w14:textId="77777777" w:rsidR="004746BB" w:rsidRDefault="004746BB" w:rsidP="004746BB">
      <w:pPr>
        <w:tabs>
          <w:tab w:val="left" w:pos="6440"/>
        </w:tabs>
        <w:spacing w:line="252" w:lineRule="auto"/>
        <w:jc w:val="both"/>
        <w:rPr>
          <w:rFonts w:ascii="Garamond" w:hAnsi="Garamond"/>
          <w:color w:val="000000" w:themeColor="text1"/>
        </w:rPr>
      </w:pPr>
    </w:p>
    <w:p w14:paraId="21250DA9" w14:textId="124CAA28" w:rsidR="004746BB" w:rsidRDefault="004746BB" w:rsidP="004746BB">
      <w:pPr>
        <w:tabs>
          <w:tab w:val="left" w:pos="6440"/>
        </w:tabs>
        <w:spacing w:line="252" w:lineRule="auto"/>
        <w:jc w:val="both"/>
        <w:rPr>
          <w:rFonts w:ascii="Garamond" w:hAnsi="Garamond"/>
          <w:color w:val="000000" w:themeColor="text1"/>
        </w:rPr>
      </w:pPr>
      <w:r>
        <w:rPr>
          <w:rFonts w:ascii="Garamond" w:hAnsi="Garamond"/>
          <w:color w:val="000000" w:themeColor="text1"/>
        </w:rPr>
        <w:t>Plus encore, il apparaît que l</w:t>
      </w:r>
      <w:r w:rsidR="00F86CA7">
        <w:rPr>
          <w:rFonts w:ascii="Garamond" w:hAnsi="Garamond"/>
          <w:color w:val="000000" w:themeColor="text1"/>
        </w:rPr>
        <w:t>’</w:t>
      </w:r>
      <w:r>
        <w:rPr>
          <w:rFonts w:ascii="Garamond" w:hAnsi="Garamond"/>
          <w:color w:val="000000" w:themeColor="text1"/>
        </w:rPr>
        <w:t>État s</w:t>
      </w:r>
      <w:r w:rsidR="00F86CA7">
        <w:rPr>
          <w:rFonts w:ascii="Garamond" w:hAnsi="Garamond"/>
          <w:color w:val="000000" w:themeColor="text1"/>
        </w:rPr>
        <w:t>’</w:t>
      </w:r>
      <w:r>
        <w:rPr>
          <w:rFonts w:ascii="Garamond" w:hAnsi="Garamond"/>
          <w:color w:val="000000" w:themeColor="text1"/>
        </w:rPr>
        <w:t>est abstenu d</w:t>
      </w:r>
      <w:r w:rsidR="00F86CA7">
        <w:rPr>
          <w:rFonts w:ascii="Garamond" w:hAnsi="Garamond"/>
          <w:color w:val="000000" w:themeColor="text1"/>
        </w:rPr>
        <w:t>’</w:t>
      </w:r>
      <w:r>
        <w:rPr>
          <w:rFonts w:ascii="Garamond" w:hAnsi="Garamond"/>
          <w:color w:val="000000" w:themeColor="text1"/>
        </w:rPr>
        <w:t>adopter des</w:t>
      </w:r>
      <w:r w:rsidRPr="00A76C93">
        <w:rPr>
          <w:rFonts w:ascii="Garamond" w:hAnsi="Garamond"/>
          <w:color w:val="000000" w:themeColor="text1"/>
        </w:rPr>
        <w:t xml:space="preserve"> </w:t>
      </w:r>
      <w:r>
        <w:rPr>
          <w:rFonts w:ascii="Garamond" w:hAnsi="Garamond"/>
          <w:color w:val="000000" w:themeColor="text1"/>
        </w:rPr>
        <w:t>mesures</w:t>
      </w:r>
      <w:r w:rsidRPr="00A76C93">
        <w:rPr>
          <w:rFonts w:ascii="Garamond" w:hAnsi="Garamond"/>
          <w:color w:val="000000" w:themeColor="text1"/>
        </w:rPr>
        <w:t xml:space="preserve"> </w:t>
      </w:r>
      <w:r>
        <w:rPr>
          <w:rFonts w:ascii="Garamond" w:hAnsi="Garamond"/>
          <w:color w:val="000000" w:themeColor="text1"/>
        </w:rPr>
        <w:t xml:space="preserve">correctrices </w:t>
      </w:r>
      <w:r w:rsidRPr="00A76C93">
        <w:rPr>
          <w:rFonts w:ascii="Garamond" w:hAnsi="Garamond"/>
          <w:color w:val="000000" w:themeColor="text1"/>
        </w:rPr>
        <w:t>spécifique</w:t>
      </w:r>
      <w:r>
        <w:rPr>
          <w:rFonts w:ascii="Garamond" w:hAnsi="Garamond"/>
          <w:color w:val="000000" w:themeColor="text1"/>
        </w:rPr>
        <w:t xml:space="preserve">s, permettant tout à la fois de </w:t>
      </w:r>
      <w:r w:rsidRPr="00A76C93">
        <w:rPr>
          <w:rFonts w:ascii="Garamond" w:hAnsi="Garamond"/>
          <w:color w:val="000000" w:themeColor="text1"/>
        </w:rPr>
        <w:t>réparer le préjudice écologique</w:t>
      </w:r>
      <w:r>
        <w:rPr>
          <w:rFonts w:ascii="Garamond" w:hAnsi="Garamond"/>
          <w:color w:val="000000" w:themeColor="text1"/>
        </w:rPr>
        <w:t>, et de prévenir son aggravation.</w:t>
      </w:r>
    </w:p>
    <w:p w14:paraId="2C28B95E" w14:textId="2589D4A1" w:rsidR="000E4514" w:rsidRDefault="000E4514" w:rsidP="00F52A38">
      <w:pPr>
        <w:spacing w:line="252" w:lineRule="auto"/>
        <w:jc w:val="both"/>
        <w:rPr>
          <w:rFonts w:ascii="Garamond" w:hAnsi="Garamond"/>
        </w:rPr>
      </w:pPr>
    </w:p>
    <w:p w14:paraId="7AE1C3CA" w14:textId="52D5677A" w:rsidR="00450CFA" w:rsidRDefault="00450CFA" w:rsidP="00F52A38">
      <w:pPr>
        <w:spacing w:line="252" w:lineRule="auto"/>
        <w:jc w:val="both"/>
        <w:rPr>
          <w:rFonts w:ascii="Garamond" w:hAnsi="Garamond"/>
        </w:rPr>
      </w:pPr>
      <w:r>
        <w:rPr>
          <w:rFonts w:ascii="Garamond" w:hAnsi="Garamond"/>
        </w:rPr>
        <w:t>En conséquence, et conformément aux dispositions des articles L. 911-4 et R. 921-1 et suivants du Code de justice administrative, les associations Notre Affaire À Tous, Oxfam France et Greenpeace France sollicitent du Président du Tribunal administratif de Paris qu</w:t>
      </w:r>
      <w:r w:rsidR="00F86CA7">
        <w:rPr>
          <w:rFonts w:ascii="Garamond" w:hAnsi="Garamond"/>
        </w:rPr>
        <w:t>’</w:t>
      </w:r>
      <w:r>
        <w:rPr>
          <w:rFonts w:ascii="Garamond" w:hAnsi="Garamond"/>
        </w:rPr>
        <w:t xml:space="preserve">il </w:t>
      </w:r>
      <w:r w:rsidRPr="00450CFA">
        <w:rPr>
          <w:rFonts w:ascii="Garamond" w:hAnsi="Garamond"/>
        </w:rPr>
        <w:t>prescrive les mesures nécessaires à l</w:t>
      </w:r>
      <w:r w:rsidR="00F86CA7">
        <w:rPr>
          <w:rFonts w:ascii="Garamond" w:hAnsi="Garamond"/>
        </w:rPr>
        <w:t>’</w:t>
      </w:r>
      <w:r w:rsidRPr="00450CFA">
        <w:rPr>
          <w:rFonts w:ascii="Garamond" w:hAnsi="Garamond"/>
        </w:rPr>
        <w:t xml:space="preserve">exécution </w:t>
      </w:r>
      <w:r>
        <w:rPr>
          <w:rFonts w:ascii="Garamond" w:hAnsi="Garamond"/>
        </w:rPr>
        <w:t>de ce jugement, en enjoignant à l</w:t>
      </w:r>
      <w:r w:rsidR="00F86CA7">
        <w:rPr>
          <w:rFonts w:ascii="Garamond" w:hAnsi="Garamond"/>
        </w:rPr>
        <w:t>’</w:t>
      </w:r>
      <w:r>
        <w:rPr>
          <w:rFonts w:ascii="Garamond" w:hAnsi="Garamond"/>
        </w:rPr>
        <w:t xml:space="preserve">État de </w:t>
      </w:r>
      <w:r w:rsidR="004746BB">
        <w:rPr>
          <w:rFonts w:ascii="Garamond" w:hAnsi="Garamond"/>
        </w:rPr>
        <w:t>de prendre, à bref délai, des mesures sectorielles concrètes, permettant de tenir compte effectivement du surplus d</w:t>
      </w:r>
      <w:r w:rsidR="00F86CA7">
        <w:rPr>
          <w:rFonts w:ascii="Garamond" w:hAnsi="Garamond"/>
        </w:rPr>
        <w:t>’</w:t>
      </w:r>
      <w:r w:rsidR="004746BB">
        <w:rPr>
          <w:rFonts w:ascii="Garamond" w:hAnsi="Garamond"/>
        </w:rPr>
        <w:t>émissions de gaz à effet de serre lié au dépassement du premier budget carbone, d</w:t>
      </w:r>
      <w:r w:rsidR="00F86CA7">
        <w:rPr>
          <w:rFonts w:ascii="Garamond" w:hAnsi="Garamond"/>
        </w:rPr>
        <w:t>’</w:t>
      </w:r>
      <w:r w:rsidR="004746BB">
        <w:rPr>
          <w:rFonts w:ascii="Garamond" w:hAnsi="Garamond"/>
        </w:rPr>
        <w:t>assurer la réparation du préjudice écologique résultant de ce dépassement, et de prévenir, pour l</w:t>
      </w:r>
      <w:r w:rsidR="00F86CA7">
        <w:rPr>
          <w:rFonts w:ascii="Garamond" w:hAnsi="Garamond"/>
        </w:rPr>
        <w:t>’</w:t>
      </w:r>
      <w:r w:rsidR="004746BB">
        <w:rPr>
          <w:rFonts w:ascii="Garamond" w:hAnsi="Garamond"/>
        </w:rPr>
        <w:t>avenir, sa résurgence ou son aggravation</w:t>
      </w:r>
      <w:r w:rsidR="000E4514">
        <w:rPr>
          <w:rFonts w:ascii="Garamond" w:hAnsi="Garamond"/>
        </w:rPr>
        <w:t>, sous astreinte d</w:t>
      </w:r>
      <w:r w:rsidR="00F86CA7">
        <w:rPr>
          <w:rFonts w:ascii="Garamond" w:hAnsi="Garamond"/>
        </w:rPr>
        <w:t>’</w:t>
      </w:r>
      <w:r w:rsidR="000E4514">
        <w:rPr>
          <w:rFonts w:ascii="Garamond" w:hAnsi="Garamond"/>
        </w:rPr>
        <w:t>un milliard d</w:t>
      </w:r>
      <w:r w:rsidR="00F86CA7">
        <w:rPr>
          <w:rFonts w:ascii="Garamond" w:hAnsi="Garamond"/>
        </w:rPr>
        <w:t>’</w:t>
      </w:r>
      <w:r w:rsidR="000E4514">
        <w:rPr>
          <w:rFonts w:ascii="Garamond" w:hAnsi="Garamond"/>
        </w:rPr>
        <w:t xml:space="preserve">euros par semestre de retard. </w:t>
      </w:r>
    </w:p>
    <w:p w14:paraId="40A64AB4" w14:textId="77777777" w:rsidR="000E4514" w:rsidRDefault="000E4514" w:rsidP="00F52A38">
      <w:pPr>
        <w:spacing w:line="252" w:lineRule="auto"/>
        <w:jc w:val="both"/>
        <w:rPr>
          <w:rFonts w:ascii="Garamond" w:hAnsi="Garamond"/>
        </w:rPr>
      </w:pPr>
    </w:p>
    <w:p w14:paraId="1EE36C2D" w14:textId="2208325A" w:rsidR="000E4514" w:rsidRDefault="000E4514" w:rsidP="00F52A38">
      <w:pPr>
        <w:spacing w:line="252" w:lineRule="auto"/>
        <w:jc w:val="both"/>
        <w:rPr>
          <w:rFonts w:ascii="Garamond" w:hAnsi="Garamond"/>
        </w:rPr>
      </w:pPr>
      <w:r>
        <w:rPr>
          <w:rFonts w:ascii="Garamond" w:hAnsi="Garamond"/>
        </w:rPr>
        <w:t>Tel est l</w:t>
      </w:r>
      <w:r w:rsidR="00F86CA7">
        <w:rPr>
          <w:rFonts w:ascii="Garamond" w:hAnsi="Garamond"/>
        </w:rPr>
        <w:t>’</w:t>
      </w:r>
      <w:r>
        <w:rPr>
          <w:rFonts w:ascii="Garamond" w:hAnsi="Garamond"/>
        </w:rPr>
        <w:t xml:space="preserve">objet de la présente demande. </w:t>
      </w:r>
    </w:p>
    <w:p w14:paraId="19725BC5" w14:textId="77777777" w:rsidR="00E25C9A" w:rsidRPr="00F52A38" w:rsidRDefault="00E25C9A" w:rsidP="00E25C9A">
      <w:pPr>
        <w:spacing w:line="252" w:lineRule="auto"/>
        <w:jc w:val="both"/>
        <w:rPr>
          <w:rFonts w:ascii="Garamond" w:hAnsi="Garamond"/>
        </w:rPr>
      </w:pPr>
    </w:p>
    <w:p w14:paraId="5337420C" w14:textId="77777777" w:rsidR="00E25C9A" w:rsidRPr="00F52A38" w:rsidRDefault="00E25C9A" w:rsidP="00E25C9A">
      <w:pPr>
        <w:numPr>
          <w:ilvl w:val="0"/>
          <w:numId w:val="1"/>
        </w:numPr>
        <w:spacing w:line="252" w:lineRule="auto"/>
        <w:ind w:left="0" w:firstLine="0"/>
        <w:jc w:val="both"/>
        <w:rPr>
          <w:rFonts w:ascii="Garamond" w:hAnsi="Garamond"/>
        </w:rPr>
      </w:pPr>
    </w:p>
    <w:p w14:paraId="09EDAA05" w14:textId="77777777" w:rsidR="00E25C9A" w:rsidRPr="00F52A38" w:rsidRDefault="00E25C9A" w:rsidP="00E25C9A">
      <w:pPr>
        <w:spacing w:line="252" w:lineRule="auto"/>
        <w:jc w:val="both"/>
        <w:rPr>
          <w:rFonts w:ascii="Garamond" w:hAnsi="Garamond"/>
        </w:rPr>
      </w:pPr>
    </w:p>
    <w:p w14:paraId="16AE3F00" w14:textId="742CA79B" w:rsidR="009B68A7" w:rsidRDefault="00E25C9A" w:rsidP="00F52A38">
      <w:pPr>
        <w:spacing w:line="252" w:lineRule="auto"/>
        <w:jc w:val="both"/>
        <w:rPr>
          <w:rFonts w:ascii="Garamond" w:hAnsi="Garamond"/>
        </w:rPr>
      </w:pPr>
      <w:r>
        <w:rPr>
          <w:rFonts w:ascii="Garamond" w:hAnsi="Garamond"/>
        </w:rPr>
        <w:t>Pour la parfaite information du Président du Tribunal administratif de Paris, il est précisé que</w:t>
      </w:r>
      <w:r w:rsidR="00984D45">
        <w:rPr>
          <w:rFonts w:ascii="Garamond" w:hAnsi="Garamond"/>
        </w:rPr>
        <w:t xml:space="preserve"> les associations Notre Affaire À Tous, Oxfam France et Greenpeace France ont parallèlement saisi la Commission d</w:t>
      </w:r>
      <w:r w:rsidR="00F86CA7">
        <w:rPr>
          <w:rFonts w:ascii="Garamond" w:hAnsi="Garamond"/>
        </w:rPr>
        <w:t>’</w:t>
      </w:r>
      <w:r w:rsidR="00984D45">
        <w:rPr>
          <w:rFonts w:ascii="Garamond" w:hAnsi="Garamond"/>
        </w:rPr>
        <w:t xml:space="preserve">accès aux documents administratifs (CADA), par courrier enregistré à son secrétariat le </w:t>
      </w:r>
      <w:r w:rsidR="00450CFA">
        <w:rPr>
          <w:rFonts w:ascii="Garamond" w:hAnsi="Garamond"/>
        </w:rPr>
        <w:t>17 mars 2023</w:t>
      </w:r>
      <w:r w:rsidR="00984D45">
        <w:rPr>
          <w:rFonts w:ascii="Garamond" w:hAnsi="Garamond"/>
        </w:rPr>
        <w:t>, d</w:t>
      </w:r>
      <w:r w:rsidR="00F86CA7">
        <w:rPr>
          <w:rFonts w:ascii="Garamond" w:hAnsi="Garamond"/>
        </w:rPr>
        <w:t>’</w:t>
      </w:r>
      <w:r w:rsidR="00984D45">
        <w:rPr>
          <w:rFonts w:ascii="Garamond" w:hAnsi="Garamond"/>
        </w:rPr>
        <w:t>une demande d</w:t>
      </w:r>
      <w:r w:rsidR="00F86CA7">
        <w:rPr>
          <w:rFonts w:ascii="Garamond" w:hAnsi="Garamond"/>
        </w:rPr>
        <w:t>’</w:t>
      </w:r>
      <w:r w:rsidR="00984D45">
        <w:rPr>
          <w:rFonts w:ascii="Garamond" w:hAnsi="Garamond"/>
        </w:rPr>
        <w:t xml:space="preserve">avis relative à la transmission des informations et documents visés dans leur courrier du 20 décembre 2022. </w:t>
      </w:r>
    </w:p>
    <w:p w14:paraId="45AF4E08" w14:textId="77777777" w:rsidR="00984D45" w:rsidRDefault="00984D45" w:rsidP="00F52A38">
      <w:pPr>
        <w:spacing w:line="252" w:lineRule="auto"/>
        <w:jc w:val="both"/>
        <w:rPr>
          <w:rFonts w:ascii="Garamond" w:hAnsi="Garamond"/>
        </w:rPr>
      </w:pPr>
    </w:p>
    <w:p w14:paraId="468F2D42" w14:textId="2CE8E711" w:rsidR="009B68A7" w:rsidRDefault="00984D45" w:rsidP="00F52A38">
      <w:pPr>
        <w:spacing w:line="252" w:lineRule="auto"/>
        <w:jc w:val="both"/>
        <w:rPr>
          <w:rFonts w:ascii="Garamond" w:hAnsi="Garamond"/>
        </w:rPr>
      </w:pPr>
      <w:r>
        <w:rPr>
          <w:rFonts w:ascii="Garamond" w:hAnsi="Garamond"/>
        </w:rPr>
        <w:t xml:space="preserve">Le </w:t>
      </w:r>
      <w:r w:rsidR="00450CFA">
        <w:rPr>
          <w:rFonts w:ascii="Garamond" w:hAnsi="Garamond"/>
        </w:rPr>
        <w:t>20 avril 2023</w:t>
      </w:r>
      <w:r>
        <w:rPr>
          <w:rFonts w:ascii="Garamond" w:hAnsi="Garamond"/>
        </w:rPr>
        <w:t xml:space="preserve">, la CADA a </w:t>
      </w:r>
      <w:r w:rsidR="00BE3C13">
        <w:rPr>
          <w:rFonts w:ascii="Garamond" w:hAnsi="Garamond"/>
        </w:rPr>
        <w:t>re</w:t>
      </w:r>
      <w:r w:rsidR="00A27F61">
        <w:rPr>
          <w:rFonts w:ascii="Garamond" w:hAnsi="Garamond"/>
        </w:rPr>
        <w:t>ndu</w:t>
      </w:r>
      <w:r>
        <w:rPr>
          <w:rFonts w:ascii="Garamond" w:hAnsi="Garamond"/>
        </w:rPr>
        <w:t xml:space="preserve"> </w:t>
      </w:r>
      <w:r w:rsidR="00BE3C13">
        <w:rPr>
          <w:rFonts w:ascii="Garamond" w:hAnsi="Garamond"/>
        </w:rPr>
        <w:t>deux</w:t>
      </w:r>
      <w:r>
        <w:rPr>
          <w:rFonts w:ascii="Garamond" w:hAnsi="Garamond"/>
        </w:rPr>
        <w:t xml:space="preserve"> avis favorable</w:t>
      </w:r>
      <w:r w:rsidR="00BE3C13">
        <w:rPr>
          <w:rFonts w:ascii="Garamond" w:hAnsi="Garamond"/>
        </w:rPr>
        <w:t>s</w:t>
      </w:r>
      <w:r>
        <w:rPr>
          <w:rFonts w:ascii="Garamond" w:hAnsi="Garamond"/>
        </w:rPr>
        <w:t xml:space="preserve"> à la communication de ces informations (</w:t>
      </w:r>
      <w:r w:rsidRPr="00450CFA">
        <w:rPr>
          <w:rFonts w:ascii="Garamond" w:hAnsi="Garamond"/>
          <w:b/>
          <w:bCs/>
          <w:u w:val="single"/>
        </w:rPr>
        <w:t>Production n° </w:t>
      </w:r>
      <w:r w:rsidR="00450CFA" w:rsidRPr="00450CFA">
        <w:rPr>
          <w:rFonts w:ascii="Garamond" w:hAnsi="Garamond"/>
          <w:b/>
          <w:bCs/>
          <w:u w:val="single"/>
        </w:rPr>
        <w:t>4</w:t>
      </w:r>
      <w:r w:rsidR="00BE3C13">
        <w:rPr>
          <w:rFonts w:ascii="Garamond" w:hAnsi="Garamond"/>
          <w:b/>
          <w:bCs/>
          <w:u w:val="single"/>
        </w:rPr>
        <w:t xml:space="preserve"> et 5</w:t>
      </w:r>
      <w:r>
        <w:rPr>
          <w:rFonts w:ascii="Garamond" w:hAnsi="Garamond"/>
        </w:rPr>
        <w:t xml:space="preserve">). </w:t>
      </w:r>
    </w:p>
    <w:p w14:paraId="15AC7DDD" w14:textId="77777777" w:rsidR="00D96521" w:rsidRDefault="00D96521" w:rsidP="00F52A38">
      <w:pPr>
        <w:spacing w:line="252" w:lineRule="auto"/>
        <w:jc w:val="both"/>
        <w:rPr>
          <w:rFonts w:ascii="Garamond" w:hAnsi="Garamond"/>
        </w:rPr>
      </w:pPr>
    </w:p>
    <w:p w14:paraId="6A6EDB46" w14:textId="6B839202" w:rsidR="00D96521" w:rsidRDefault="000E4514" w:rsidP="00F52A38">
      <w:pPr>
        <w:spacing w:line="252" w:lineRule="auto"/>
        <w:jc w:val="both"/>
        <w:rPr>
          <w:rFonts w:ascii="Garamond" w:hAnsi="Garamond"/>
        </w:rPr>
      </w:pPr>
      <w:r>
        <w:rPr>
          <w:rFonts w:ascii="Garamond" w:hAnsi="Garamond"/>
        </w:rPr>
        <w:lastRenderedPageBreak/>
        <w:t>Pour autant</w:t>
      </w:r>
      <w:r w:rsidR="00450CFA">
        <w:rPr>
          <w:rFonts w:ascii="Garamond" w:hAnsi="Garamond"/>
        </w:rPr>
        <w:t>, l</w:t>
      </w:r>
      <w:r w:rsidR="00984D45">
        <w:rPr>
          <w:rFonts w:ascii="Garamond" w:hAnsi="Garamond"/>
        </w:rPr>
        <w:t>e silence gardé par la Première Ministre, le Ministre de la Transition écologique et de la Cohésion des territoires et la Ministre de la Transition énergétique pendant le délai de deux mois suivant l</w:t>
      </w:r>
      <w:r w:rsidR="00F86CA7">
        <w:rPr>
          <w:rFonts w:ascii="Garamond" w:hAnsi="Garamond"/>
        </w:rPr>
        <w:t>’</w:t>
      </w:r>
      <w:r w:rsidR="00984D45">
        <w:rPr>
          <w:rFonts w:ascii="Garamond" w:hAnsi="Garamond"/>
        </w:rPr>
        <w:t>enregistrement de la demande des associations par la Commission d</w:t>
      </w:r>
      <w:r w:rsidR="00F86CA7">
        <w:rPr>
          <w:rFonts w:ascii="Garamond" w:hAnsi="Garamond"/>
        </w:rPr>
        <w:t>’</w:t>
      </w:r>
      <w:r w:rsidR="00984D45">
        <w:rPr>
          <w:rFonts w:ascii="Garamond" w:hAnsi="Garamond"/>
        </w:rPr>
        <w:t xml:space="preserve">accès aux documents administratifs a fait naître </w:t>
      </w:r>
      <w:r w:rsidR="00A27F61">
        <w:rPr>
          <w:rFonts w:ascii="Garamond" w:hAnsi="Garamond"/>
        </w:rPr>
        <w:t>des</w:t>
      </w:r>
      <w:r w:rsidR="00984D45">
        <w:rPr>
          <w:rFonts w:ascii="Garamond" w:hAnsi="Garamond"/>
        </w:rPr>
        <w:t xml:space="preserve"> décision</w:t>
      </w:r>
      <w:r w:rsidR="00A27F61">
        <w:rPr>
          <w:rFonts w:ascii="Garamond" w:hAnsi="Garamond"/>
        </w:rPr>
        <w:t>s</w:t>
      </w:r>
      <w:r w:rsidR="00984D45">
        <w:rPr>
          <w:rFonts w:ascii="Garamond" w:hAnsi="Garamond"/>
        </w:rPr>
        <w:t xml:space="preserve"> implicite</w:t>
      </w:r>
      <w:r w:rsidR="00A27F61">
        <w:rPr>
          <w:rFonts w:ascii="Garamond" w:hAnsi="Garamond"/>
        </w:rPr>
        <w:t>s</w:t>
      </w:r>
      <w:r w:rsidR="00984D45">
        <w:rPr>
          <w:rFonts w:ascii="Garamond" w:hAnsi="Garamond"/>
        </w:rPr>
        <w:t xml:space="preserve"> de refus de communication</w:t>
      </w:r>
      <w:r>
        <w:rPr>
          <w:rFonts w:ascii="Garamond" w:hAnsi="Garamond"/>
        </w:rPr>
        <w:t>, conformément aux dispositions des articles R. 343-4 et R. 343-5 du Code des relations entre le public et l</w:t>
      </w:r>
      <w:r w:rsidR="00F86CA7">
        <w:rPr>
          <w:rFonts w:ascii="Garamond" w:hAnsi="Garamond"/>
        </w:rPr>
        <w:t>’</w:t>
      </w:r>
      <w:r>
        <w:rPr>
          <w:rFonts w:ascii="Garamond" w:hAnsi="Garamond"/>
        </w:rPr>
        <w:t>administration</w:t>
      </w:r>
      <w:r w:rsidR="00A07440">
        <w:rPr>
          <w:rFonts w:ascii="Garamond" w:hAnsi="Garamond"/>
        </w:rPr>
        <w:t>.</w:t>
      </w:r>
    </w:p>
    <w:p w14:paraId="4FEB4DAA" w14:textId="77777777" w:rsidR="00984D45" w:rsidRDefault="00984D45" w:rsidP="00F52A38">
      <w:pPr>
        <w:spacing w:line="252" w:lineRule="auto"/>
        <w:jc w:val="both"/>
        <w:rPr>
          <w:rFonts w:ascii="Garamond" w:hAnsi="Garamond"/>
        </w:rPr>
      </w:pPr>
    </w:p>
    <w:p w14:paraId="4F9FA582" w14:textId="2A801D46" w:rsidR="00D96521" w:rsidRDefault="000E4514" w:rsidP="00F52A38">
      <w:pPr>
        <w:spacing w:line="252" w:lineRule="auto"/>
        <w:jc w:val="both"/>
        <w:rPr>
          <w:rFonts w:ascii="Garamond" w:hAnsi="Garamond"/>
        </w:rPr>
      </w:pPr>
      <w:r>
        <w:rPr>
          <w:rFonts w:ascii="Garamond" w:hAnsi="Garamond"/>
        </w:rPr>
        <w:t>Dès lors, p</w:t>
      </w:r>
      <w:r w:rsidR="00984D45">
        <w:rPr>
          <w:rFonts w:ascii="Garamond" w:hAnsi="Garamond"/>
        </w:rPr>
        <w:t xml:space="preserve">arallèlement </w:t>
      </w:r>
      <w:r w:rsidR="00450CFA">
        <w:rPr>
          <w:rFonts w:ascii="Garamond" w:hAnsi="Garamond"/>
        </w:rPr>
        <w:t>à la</w:t>
      </w:r>
      <w:r w:rsidR="00984D45">
        <w:rPr>
          <w:rFonts w:ascii="Garamond" w:hAnsi="Garamond"/>
        </w:rPr>
        <w:t xml:space="preserve"> demande</w:t>
      </w:r>
      <w:r w:rsidR="00450CFA">
        <w:rPr>
          <w:rFonts w:ascii="Garamond" w:hAnsi="Garamond"/>
        </w:rPr>
        <w:t xml:space="preserve"> tendant à l</w:t>
      </w:r>
      <w:r w:rsidR="00F86CA7">
        <w:rPr>
          <w:rFonts w:ascii="Garamond" w:hAnsi="Garamond"/>
        </w:rPr>
        <w:t>’</w:t>
      </w:r>
      <w:r w:rsidR="00450CFA">
        <w:rPr>
          <w:rFonts w:ascii="Garamond" w:hAnsi="Garamond"/>
        </w:rPr>
        <w:t>exécution du jugement du 14 octobre 2021</w:t>
      </w:r>
      <w:r w:rsidR="00984D45">
        <w:rPr>
          <w:rFonts w:ascii="Garamond" w:hAnsi="Garamond"/>
        </w:rPr>
        <w:t>, les associations Notre Affaire À Tous, Oxfam France et Greenpeace France ont saisi le Tribunal administratif de Paris d</w:t>
      </w:r>
      <w:r w:rsidR="00450CFA">
        <w:rPr>
          <w:rFonts w:ascii="Garamond" w:hAnsi="Garamond"/>
        </w:rPr>
        <w:t xml:space="preserve">e requêtes </w:t>
      </w:r>
      <w:r w:rsidR="00984D45">
        <w:rPr>
          <w:rFonts w:ascii="Garamond" w:hAnsi="Garamond"/>
        </w:rPr>
        <w:t>tendant à l</w:t>
      </w:r>
      <w:r w:rsidR="00F86CA7">
        <w:rPr>
          <w:rFonts w:ascii="Garamond" w:hAnsi="Garamond"/>
        </w:rPr>
        <w:t>’</w:t>
      </w:r>
      <w:r w:rsidR="00984D45">
        <w:rPr>
          <w:rFonts w:ascii="Garamond" w:hAnsi="Garamond"/>
        </w:rPr>
        <w:t>annulation de</w:t>
      </w:r>
      <w:r w:rsidR="00450CFA">
        <w:rPr>
          <w:rFonts w:ascii="Garamond" w:hAnsi="Garamond"/>
        </w:rPr>
        <w:t xml:space="preserve"> </w:t>
      </w:r>
      <w:r w:rsidR="00A27F61">
        <w:rPr>
          <w:rFonts w:ascii="Garamond" w:hAnsi="Garamond"/>
        </w:rPr>
        <w:t>ces</w:t>
      </w:r>
      <w:r w:rsidR="00984D45">
        <w:rPr>
          <w:rFonts w:ascii="Garamond" w:hAnsi="Garamond"/>
        </w:rPr>
        <w:t xml:space="preserve"> décision</w:t>
      </w:r>
      <w:r w:rsidR="00A27F61">
        <w:rPr>
          <w:rFonts w:ascii="Garamond" w:hAnsi="Garamond"/>
        </w:rPr>
        <w:t>s</w:t>
      </w:r>
      <w:r w:rsidR="00450CFA">
        <w:rPr>
          <w:rFonts w:ascii="Garamond" w:hAnsi="Garamond"/>
        </w:rPr>
        <w:t xml:space="preserve">. </w:t>
      </w:r>
    </w:p>
    <w:p w14:paraId="2C00CDEE" w14:textId="77777777" w:rsidR="00D96521" w:rsidRDefault="00D96521" w:rsidP="00F52A38">
      <w:pPr>
        <w:spacing w:line="252" w:lineRule="auto"/>
        <w:jc w:val="both"/>
        <w:rPr>
          <w:rFonts w:ascii="Garamond" w:hAnsi="Garamond"/>
        </w:rPr>
      </w:pPr>
    </w:p>
    <w:p w14:paraId="38BAFE78" w14:textId="3AA0DB64" w:rsidR="009C07A6" w:rsidRPr="001C3EA9" w:rsidRDefault="009C07A6" w:rsidP="00675C06">
      <w:pPr>
        <w:spacing w:line="252" w:lineRule="auto"/>
        <w:jc w:val="both"/>
        <w:rPr>
          <w:rFonts w:ascii="Garamond" w:hAnsi="Garamond"/>
        </w:rPr>
      </w:pPr>
      <w:r>
        <w:rPr>
          <w:rFonts w:ascii="Garamond" w:hAnsi="Garamond"/>
          <w:b/>
          <w:u w:val="single"/>
        </w:rPr>
        <w:br w:type="page"/>
      </w:r>
    </w:p>
    <w:p w14:paraId="3E640601" w14:textId="6FD0CB6F" w:rsidR="00AE7E2D" w:rsidRPr="00165691" w:rsidRDefault="00AE7E2D" w:rsidP="00AE7E2D">
      <w:pPr>
        <w:pStyle w:val="Titre1"/>
        <w:ind w:left="0" w:firstLine="0"/>
        <w:jc w:val="center"/>
        <w:rPr>
          <w:rFonts w:ascii="Garamond" w:hAnsi="Garamond"/>
          <w:sz w:val="28"/>
          <w:szCs w:val="28"/>
          <w:u w:val="single"/>
        </w:rPr>
      </w:pPr>
      <w:bookmarkStart w:id="2" w:name="_Toc97057358"/>
      <w:r>
        <w:rPr>
          <w:rFonts w:ascii="Garamond" w:hAnsi="Garamond"/>
          <w:sz w:val="28"/>
          <w:szCs w:val="28"/>
          <w:u w:val="single"/>
        </w:rPr>
        <w:lastRenderedPageBreak/>
        <w:t>DISCUSSION</w:t>
      </w:r>
      <w:bookmarkEnd w:id="2"/>
    </w:p>
    <w:p w14:paraId="206F3D24" w14:textId="77777777" w:rsidR="008E7E3B" w:rsidRPr="00F52A38" w:rsidRDefault="008E7E3B" w:rsidP="008E7E3B">
      <w:pPr>
        <w:spacing w:line="252" w:lineRule="auto"/>
        <w:jc w:val="both"/>
        <w:rPr>
          <w:rFonts w:ascii="Garamond" w:hAnsi="Garamond"/>
        </w:rPr>
      </w:pPr>
    </w:p>
    <w:p w14:paraId="66894200" w14:textId="77777777" w:rsidR="008E7E3B" w:rsidRPr="00F52A38" w:rsidRDefault="008E7E3B" w:rsidP="008E7E3B">
      <w:pPr>
        <w:numPr>
          <w:ilvl w:val="0"/>
          <w:numId w:val="1"/>
        </w:numPr>
        <w:spacing w:line="252" w:lineRule="auto"/>
        <w:ind w:left="0" w:firstLine="0"/>
        <w:jc w:val="both"/>
        <w:rPr>
          <w:rFonts w:ascii="Garamond" w:hAnsi="Garamond"/>
        </w:rPr>
      </w:pPr>
    </w:p>
    <w:p w14:paraId="3AB5F57C" w14:textId="77777777" w:rsidR="008E7E3B" w:rsidRPr="00F52A38" w:rsidRDefault="008E7E3B" w:rsidP="008E7E3B">
      <w:pPr>
        <w:spacing w:line="252" w:lineRule="auto"/>
        <w:jc w:val="both"/>
        <w:rPr>
          <w:rFonts w:ascii="Garamond" w:hAnsi="Garamond"/>
        </w:rPr>
      </w:pPr>
    </w:p>
    <w:p w14:paraId="3D0C9AD3" w14:textId="198BB4D1" w:rsidR="004C6C63" w:rsidRDefault="00030E56" w:rsidP="004C6C63">
      <w:pPr>
        <w:spacing w:line="252" w:lineRule="auto"/>
        <w:jc w:val="both"/>
        <w:rPr>
          <w:rFonts w:ascii="Garamond" w:hAnsi="Garamond"/>
        </w:rPr>
      </w:pPr>
      <w:r>
        <w:rPr>
          <w:rFonts w:ascii="Garamond" w:hAnsi="Garamond"/>
          <w:b/>
          <w:bCs/>
          <w:u w:val="single"/>
        </w:rPr>
        <w:t>À titre liminaire</w:t>
      </w:r>
      <w:r w:rsidR="004C6C63">
        <w:rPr>
          <w:rFonts w:ascii="Garamond" w:hAnsi="Garamond"/>
        </w:rPr>
        <w:t>,</w:t>
      </w:r>
      <w:r>
        <w:rPr>
          <w:rFonts w:ascii="Garamond" w:hAnsi="Garamond"/>
        </w:rPr>
        <w:t xml:space="preserve"> il est rappelé </w:t>
      </w:r>
      <w:r w:rsidR="00496D0F">
        <w:rPr>
          <w:rFonts w:ascii="Garamond" w:hAnsi="Garamond"/>
        </w:rPr>
        <w:t>que</w:t>
      </w:r>
      <w:r w:rsidR="004C6C63">
        <w:rPr>
          <w:rFonts w:ascii="Garamond" w:hAnsi="Garamond"/>
        </w:rPr>
        <w:t xml:space="preserve"> l</w:t>
      </w:r>
      <w:r w:rsidR="00F86CA7">
        <w:rPr>
          <w:rFonts w:ascii="Garamond" w:hAnsi="Garamond"/>
        </w:rPr>
        <w:t>’</w:t>
      </w:r>
      <w:r w:rsidR="004C6C63">
        <w:rPr>
          <w:rFonts w:ascii="Garamond" w:hAnsi="Garamond"/>
        </w:rPr>
        <w:t>article L. 911-4 du Code de justice administrative</w:t>
      </w:r>
      <w:r w:rsidR="00496D0F">
        <w:rPr>
          <w:rFonts w:ascii="Garamond" w:hAnsi="Garamond"/>
        </w:rPr>
        <w:t xml:space="preserve"> dispose que</w:t>
      </w:r>
      <w:r w:rsidR="004C6C63">
        <w:rPr>
          <w:rFonts w:ascii="Garamond" w:hAnsi="Garamond"/>
        </w:rPr>
        <w:t xml:space="preserve"> : </w:t>
      </w:r>
    </w:p>
    <w:p w14:paraId="36A2B5F7" w14:textId="77777777" w:rsidR="004C6C63" w:rsidRDefault="004C6C63" w:rsidP="004C6C63">
      <w:pPr>
        <w:spacing w:line="252" w:lineRule="auto"/>
        <w:jc w:val="both"/>
        <w:rPr>
          <w:rFonts w:ascii="Garamond" w:hAnsi="Garamond"/>
        </w:rPr>
      </w:pPr>
    </w:p>
    <w:p w14:paraId="2FA90566" w14:textId="73E27532" w:rsidR="00F528DA" w:rsidRPr="00F528DA" w:rsidRDefault="004C6C63" w:rsidP="00F528DA">
      <w:pPr>
        <w:spacing w:line="252" w:lineRule="auto"/>
        <w:ind w:left="567"/>
        <w:jc w:val="both"/>
        <w:rPr>
          <w:rFonts w:ascii="Garamond" w:hAnsi="Garamond"/>
          <w:i/>
          <w:iCs/>
        </w:rPr>
      </w:pPr>
      <w:r>
        <w:rPr>
          <w:rFonts w:ascii="Garamond" w:hAnsi="Garamond"/>
        </w:rPr>
        <w:t>« </w:t>
      </w:r>
      <w:r w:rsidR="00F528DA" w:rsidRPr="00F528DA">
        <w:rPr>
          <w:rFonts w:ascii="Garamond" w:hAnsi="Garamond"/>
          <w:i/>
          <w:iCs/>
        </w:rPr>
        <w:t>En cas d</w:t>
      </w:r>
      <w:r w:rsidR="00F86CA7">
        <w:rPr>
          <w:rFonts w:ascii="Garamond" w:hAnsi="Garamond"/>
          <w:i/>
          <w:iCs/>
        </w:rPr>
        <w:t>’</w:t>
      </w:r>
      <w:r w:rsidR="00F528DA" w:rsidRPr="00F528DA">
        <w:rPr>
          <w:rFonts w:ascii="Garamond" w:hAnsi="Garamond"/>
          <w:i/>
          <w:iCs/>
        </w:rPr>
        <w:t>inexécution d</w:t>
      </w:r>
      <w:r w:rsidR="00F86CA7">
        <w:rPr>
          <w:rFonts w:ascii="Garamond" w:hAnsi="Garamond"/>
          <w:i/>
          <w:iCs/>
        </w:rPr>
        <w:t>’</w:t>
      </w:r>
      <w:r w:rsidR="00F528DA" w:rsidRPr="00F528DA">
        <w:rPr>
          <w:rFonts w:ascii="Garamond" w:hAnsi="Garamond"/>
          <w:i/>
          <w:iCs/>
        </w:rPr>
        <w:t>un jugement ou d</w:t>
      </w:r>
      <w:r w:rsidR="00F86CA7">
        <w:rPr>
          <w:rFonts w:ascii="Garamond" w:hAnsi="Garamond"/>
          <w:i/>
          <w:iCs/>
        </w:rPr>
        <w:t>’</w:t>
      </w:r>
      <w:r w:rsidR="00F528DA" w:rsidRPr="00F528DA">
        <w:rPr>
          <w:rFonts w:ascii="Garamond" w:hAnsi="Garamond"/>
          <w:i/>
          <w:iCs/>
        </w:rPr>
        <w:t>un arrêt, la partie intéressée peut demander à la juridiction, une fois la décision rendue, d</w:t>
      </w:r>
      <w:r w:rsidR="00F86CA7">
        <w:rPr>
          <w:rFonts w:ascii="Garamond" w:hAnsi="Garamond"/>
          <w:i/>
          <w:iCs/>
        </w:rPr>
        <w:t>’</w:t>
      </w:r>
      <w:r w:rsidR="00F528DA" w:rsidRPr="00F528DA">
        <w:rPr>
          <w:rFonts w:ascii="Garamond" w:hAnsi="Garamond"/>
          <w:i/>
          <w:iCs/>
        </w:rPr>
        <w:t>en assurer l</w:t>
      </w:r>
      <w:r w:rsidR="00F86CA7">
        <w:rPr>
          <w:rFonts w:ascii="Garamond" w:hAnsi="Garamond"/>
          <w:i/>
          <w:iCs/>
        </w:rPr>
        <w:t>’</w:t>
      </w:r>
      <w:r w:rsidR="00F528DA" w:rsidRPr="00F528DA">
        <w:rPr>
          <w:rFonts w:ascii="Garamond" w:hAnsi="Garamond"/>
          <w:i/>
          <w:iCs/>
        </w:rPr>
        <w:t>exécution.</w:t>
      </w:r>
    </w:p>
    <w:p w14:paraId="0240E97C" w14:textId="77777777" w:rsidR="00F528DA" w:rsidRPr="00F528DA" w:rsidRDefault="00F528DA" w:rsidP="00F528DA">
      <w:pPr>
        <w:spacing w:line="252" w:lineRule="auto"/>
        <w:ind w:left="567"/>
        <w:jc w:val="both"/>
        <w:rPr>
          <w:rFonts w:ascii="Garamond" w:hAnsi="Garamond"/>
          <w:i/>
          <w:iCs/>
        </w:rPr>
      </w:pPr>
    </w:p>
    <w:p w14:paraId="60C543BD" w14:textId="1BF56920" w:rsidR="004C6C63" w:rsidRDefault="00F528DA" w:rsidP="00F528DA">
      <w:pPr>
        <w:spacing w:line="252" w:lineRule="auto"/>
        <w:ind w:left="567"/>
        <w:jc w:val="both"/>
        <w:rPr>
          <w:rFonts w:ascii="Garamond" w:hAnsi="Garamond"/>
        </w:rPr>
      </w:pPr>
      <w:r w:rsidRPr="00F528DA">
        <w:rPr>
          <w:rFonts w:ascii="Garamond" w:hAnsi="Garamond"/>
          <w:i/>
          <w:iCs/>
        </w:rPr>
        <w:t>Si le jugement ou l</w:t>
      </w:r>
      <w:r w:rsidR="00F86CA7">
        <w:rPr>
          <w:rFonts w:ascii="Garamond" w:hAnsi="Garamond"/>
          <w:i/>
          <w:iCs/>
        </w:rPr>
        <w:t>’</w:t>
      </w:r>
      <w:r w:rsidRPr="00F528DA">
        <w:rPr>
          <w:rFonts w:ascii="Garamond" w:hAnsi="Garamond"/>
          <w:i/>
          <w:iCs/>
        </w:rPr>
        <w:t>arrêt dont l</w:t>
      </w:r>
      <w:r w:rsidR="00F86CA7">
        <w:rPr>
          <w:rFonts w:ascii="Garamond" w:hAnsi="Garamond"/>
          <w:i/>
          <w:iCs/>
        </w:rPr>
        <w:t>’</w:t>
      </w:r>
      <w:r w:rsidRPr="00F528DA">
        <w:rPr>
          <w:rFonts w:ascii="Garamond" w:hAnsi="Garamond"/>
          <w:i/>
          <w:iCs/>
        </w:rPr>
        <w:t>exécution est demandée n</w:t>
      </w:r>
      <w:r w:rsidR="00F86CA7">
        <w:rPr>
          <w:rFonts w:ascii="Garamond" w:hAnsi="Garamond"/>
          <w:i/>
          <w:iCs/>
        </w:rPr>
        <w:t>’</w:t>
      </w:r>
      <w:r w:rsidRPr="00F528DA">
        <w:rPr>
          <w:rFonts w:ascii="Garamond" w:hAnsi="Garamond"/>
          <w:i/>
          <w:iCs/>
        </w:rPr>
        <w:t>a pas défini les mesures d</w:t>
      </w:r>
      <w:r w:rsidR="00F86CA7">
        <w:rPr>
          <w:rFonts w:ascii="Garamond" w:hAnsi="Garamond"/>
          <w:i/>
          <w:iCs/>
        </w:rPr>
        <w:t>’</w:t>
      </w:r>
      <w:r w:rsidRPr="00F528DA">
        <w:rPr>
          <w:rFonts w:ascii="Garamond" w:hAnsi="Garamond"/>
          <w:i/>
          <w:iCs/>
        </w:rPr>
        <w:t>exécution, la juridiction saisie procède à cette définition. Elle peut fixer un délai d</w:t>
      </w:r>
      <w:r w:rsidR="00F86CA7">
        <w:rPr>
          <w:rFonts w:ascii="Garamond" w:hAnsi="Garamond"/>
          <w:i/>
          <w:iCs/>
        </w:rPr>
        <w:t>’</w:t>
      </w:r>
      <w:r w:rsidRPr="00F528DA">
        <w:rPr>
          <w:rFonts w:ascii="Garamond" w:hAnsi="Garamond"/>
          <w:i/>
          <w:iCs/>
        </w:rPr>
        <w:t>exécution et prononcer une astreinte</w:t>
      </w:r>
      <w:r w:rsidR="004C6C63">
        <w:rPr>
          <w:rFonts w:ascii="Garamond" w:hAnsi="Garamond"/>
        </w:rPr>
        <w:t> »</w:t>
      </w:r>
      <w:r w:rsidR="004C6C63" w:rsidRPr="004C6C63">
        <w:rPr>
          <w:rFonts w:ascii="Garamond" w:hAnsi="Garamond"/>
        </w:rPr>
        <w:t>.</w:t>
      </w:r>
    </w:p>
    <w:p w14:paraId="0649CFFB" w14:textId="54C5C88A" w:rsidR="00A56A28" w:rsidRDefault="00A56A28" w:rsidP="00A56A28">
      <w:pPr>
        <w:spacing w:line="252" w:lineRule="auto"/>
        <w:jc w:val="both"/>
        <w:rPr>
          <w:rFonts w:ascii="Garamond" w:hAnsi="Garamond"/>
        </w:rPr>
      </w:pPr>
    </w:p>
    <w:p w14:paraId="3B062485" w14:textId="060C61FF" w:rsidR="00A56A28" w:rsidRDefault="00A56A28" w:rsidP="00A56A28">
      <w:pPr>
        <w:spacing w:line="252" w:lineRule="auto"/>
        <w:jc w:val="both"/>
        <w:rPr>
          <w:rFonts w:ascii="Garamond" w:hAnsi="Garamond"/>
        </w:rPr>
      </w:pPr>
      <w:r>
        <w:rPr>
          <w:rFonts w:ascii="Garamond" w:hAnsi="Garamond"/>
        </w:rPr>
        <w:t>En outre, l</w:t>
      </w:r>
      <w:r w:rsidR="00F86CA7">
        <w:rPr>
          <w:rFonts w:ascii="Garamond" w:hAnsi="Garamond"/>
        </w:rPr>
        <w:t>’</w:t>
      </w:r>
      <w:r>
        <w:rPr>
          <w:rFonts w:ascii="Garamond" w:hAnsi="Garamond"/>
        </w:rPr>
        <w:t xml:space="preserve">article R. 921-1-1 du même Code prévoit que : </w:t>
      </w:r>
    </w:p>
    <w:p w14:paraId="298CCA32" w14:textId="77777777" w:rsidR="00A56A28" w:rsidRDefault="00A56A28" w:rsidP="00A56A28">
      <w:pPr>
        <w:spacing w:line="252" w:lineRule="auto"/>
        <w:jc w:val="both"/>
        <w:rPr>
          <w:rFonts w:ascii="Garamond" w:hAnsi="Garamond"/>
        </w:rPr>
      </w:pPr>
    </w:p>
    <w:p w14:paraId="0D557518" w14:textId="15B7C12F" w:rsidR="00A56A28" w:rsidRPr="00A56A28" w:rsidRDefault="00A56A28" w:rsidP="00A56A28">
      <w:pPr>
        <w:spacing w:line="252" w:lineRule="auto"/>
        <w:ind w:left="567"/>
        <w:jc w:val="both"/>
        <w:rPr>
          <w:rFonts w:ascii="Garamond" w:hAnsi="Garamond"/>
          <w:i/>
          <w:iCs/>
        </w:rPr>
      </w:pPr>
      <w:r>
        <w:rPr>
          <w:rFonts w:ascii="Garamond" w:hAnsi="Garamond"/>
        </w:rPr>
        <w:t>« </w:t>
      </w:r>
      <w:r w:rsidRPr="00A56A28">
        <w:rPr>
          <w:rFonts w:ascii="Garamond" w:hAnsi="Garamond"/>
          <w:i/>
          <w:iCs/>
        </w:rPr>
        <w:t>La demande tendant à ce que le tribunal administratif prescrive les mesures nécessaires à l</w:t>
      </w:r>
      <w:r w:rsidR="00F86CA7">
        <w:rPr>
          <w:rFonts w:ascii="Garamond" w:hAnsi="Garamond"/>
          <w:i/>
          <w:iCs/>
        </w:rPr>
        <w:t>’</w:t>
      </w:r>
      <w:r w:rsidRPr="00A56A28">
        <w:rPr>
          <w:rFonts w:ascii="Garamond" w:hAnsi="Garamond"/>
          <w:i/>
          <w:iCs/>
        </w:rPr>
        <w:t>exécution d</w:t>
      </w:r>
      <w:r w:rsidR="00F86CA7">
        <w:rPr>
          <w:rFonts w:ascii="Garamond" w:hAnsi="Garamond"/>
          <w:i/>
          <w:iCs/>
        </w:rPr>
        <w:t>’</w:t>
      </w:r>
      <w:r w:rsidRPr="00A56A28">
        <w:rPr>
          <w:rFonts w:ascii="Garamond" w:hAnsi="Garamond"/>
          <w:i/>
          <w:iCs/>
        </w:rPr>
        <w:t>un jugement définitif de ce tribunal, en assortissant, le cas échéant, ces prescriptions d</w:t>
      </w:r>
      <w:r w:rsidR="00F86CA7">
        <w:rPr>
          <w:rFonts w:ascii="Garamond" w:hAnsi="Garamond"/>
          <w:i/>
          <w:iCs/>
        </w:rPr>
        <w:t>’</w:t>
      </w:r>
      <w:r w:rsidRPr="00A56A28">
        <w:rPr>
          <w:rFonts w:ascii="Garamond" w:hAnsi="Garamond"/>
          <w:i/>
          <w:iCs/>
        </w:rPr>
        <w:t>une astreinte, ne peut être présentée, sauf décision explicite de refus d</w:t>
      </w:r>
      <w:r w:rsidR="00F86CA7">
        <w:rPr>
          <w:rFonts w:ascii="Garamond" w:hAnsi="Garamond"/>
          <w:i/>
          <w:iCs/>
        </w:rPr>
        <w:t>’</w:t>
      </w:r>
      <w:r w:rsidRPr="00A56A28">
        <w:rPr>
          <w:rFonts w:ascii="Garamond" w:hAnsi="Garamond"/>
          <w:i/>
          <w:iCs/>
        </w:rPr>
        <w:t>exécution opposée par l</w:t>
      </w:r>
      <w:r w:rsidR="00F86CA7">
        <w:rPr>
          <w:rFonts w:ascii="Garamond" w:hAnsi="Garamond"/>
          <w:i/>
          <w:iCs/>
        </w:rPr>
        <w:t>’</w:t>
      </w:r>
      <w:r w:rsidRPr="00A56A28">
        <w:rPr>
          <w:rFonts w:ascii="Garamond" w:hAnsi="Garamond"/>
          <w:i/>
          <w:iCs/>
        </w:rPr>
        <w:t>autorité administrative, avant l</w:t>
      </w:r>
      <w:r w:rsidR="00F86CA7">
        <w:rPr>
          <w:rFonts w:ascii="Garamond" w:hAnsi="Garamond"/>
          <w:i/>
          <w:iCs/>
        </w:rPr>
        <w:t>’</w:t>
      </w:r>
      <w:r w:rsidRPr="00A56A28">
        <w:rPr>
          <w:rFonts w:ascii="Garamond" w:hAnsi="Garamond"/>
          <w:i/>
          <w:iCs/>
        </w:rPr>
        <w:t>expiration d</w:t>
      </w:r>
      <w:r w:rsidR="00F86CA7">
        <w:rPr>
          <w:rFonts w:ascii="Garamond" w:hAnsi="Garamond"/>
          <w:i/>
          <w:iCs/>
        </w:rPr>
        <w:t>’</w:t>
      </w:r>
      <w:r w:rsidRPr="00A56A28">
        <w:rPr>
          <w:rFonts w:ascii="Garamond" w:hAnsi="Garamond"/>
          <w:i/>
          <w:iCs/>
        </w:rPr>
        <w:t>un délai de trois mois à compter de la notification de ce jugement. Toutefois, en ce qui concerne les décisions ordonnant une mesure d</w:t>
      </w:r>
      <w:r w:rsidR="00F86CA7">
        <w:rPr>
          <w:rFonts w:ascii="Garamond" w:hAnsi="Garamond"/>
          <w:i/>
          <w:iCs/>
        </w:rPr>
        <w:t>’</w:t>
      </w:r>
      <w:r w:rsidRPr="00A56A28">
        <w:rPr>
          <w:rFonts w:ascii="Garamond" w:hAnsi="Garamond"/>
          <w:i/>
          <w:iCs/>
        </w:rPr>
        <w:t>urgence, la demande peut être présentée sans délai.</w:t>
      </w:r>
    </w:p>
    <w:p w14:paraId="2279BFC9" w14:textId="77777777" w:rsidR="00A56A28" w:rsidRPr="00A56A28" w:rsidRDefault="00A56A28" w:rsidP="00A56A28">
      <w:pPr>
        <w:spacing w:line="252" w:lineRule="auto"/>
        <w:ind w:left="567"/>
        <w:jc w:val="both"/>
        <w:rPr>
          <w:rFonts w:ascii="Garamond" w:hAnsi="Garamond"/>
          <w:i/>
          <w:iCs/>
        </w:rPr>
      </w:pPr>
    </w:p>
    <w:p w14:paraId="3D7846AC" w14:textId="6141424C" w:rsidR="00A56A28" w:rsidRDefault="00A56A28" w:rsidP="00A56A28">
      <w:pPr>
        <w:spacing w:line="252" w:lineRule="auto"/>
        <w:ind w:left="567"/>
        <w:jc w:val="both"/>
        <w:rPr>
          <w:rFonts w:ascii="Garamond" w:hAnsi="Garamond"/>
        </w:rPr>
      </w:pPr>
      <w:r w:rsidRPr="00A56A28">
        <w:rPr>
          <w:rFonts w:ascii="Garamond" w:hAnsi="Garamond"/>
          <w:i/>
          <w:iCs/>
        </w:rPr>
        <w:t>Dans le cas où le tribunal a, dans le jugement dont l</w:t>
      </w:r>
      <w:r w:rsidR="00F86CA7">
        <w:rPr>
          <w:rFonts w:ascii="Garamond" w:hAnsi="Garamond"/>
          <w:i/>
          <w:iCs/>
        </w:rPr>
        <w:t>’</w:t>
      </w:r>
      <w:r w:rsidRPr="00A56A28">
        <w:rPr>
          <w:rFonts w:ascii="Garamond" w:hAnsi="Garamond"/>
          <w:i/>
          <w:iCs/>
        </w:rPr>
        <w:t>exécution est poursuivie, déterminé un délai dans lequel l</w:t>
      </w:r>
      <w:r w:rsidR="00F86CA7">
        <w:rPr>
          <w:rFonts w:ascii="Garamond" w:hAnsi="Garamond"/>
          <w:i/>
          <w:iCs/>
        </w:rPr>
        <w:t>’</w:t>
      </w:r>
      <w:r w:rsidRPr="00A56A28">
        <w:rPr>
          <w:rFonts w:ascii="Garamond" w:hAnsi="Garamond"/>
          <w:i/>
          <w:iCs/>
        </w:rPr>
        <w:t>administration doit prendre les mesures d</w:t>
      </w:r>
      <w:r w:rsidR="00F86CA7">
        <w:rPr>
          <w:rFonts w:ascii="Garamond" w:hAnsi="Garamond"/>
          <w:i/>
          <w:iCs/>
        </w:rPr>
        <w:t>’</w:t>
      </w:r>
      <w:r w:rsidRPr="00A56A28">
        <w:rPr>
          <w:rFonts w:ascii="Garamond" w:hAnsi="Garamond"/>
          <w:i/>
          <w:iCs/>
        </w:rPr>
        <w:t>exécution qu</w:t>
      </w:r>
      <w:r w:rsidR="00F86CA7">
        <w:rPr>
          <w:rFonts w:ascii="Garamond" w:hAnsi="Garamond"/>
          <w:i/>
          <w:iCs/>
        </w:rPr>
        <w:t>’</w:t>
      </w:r>
      <w:r w:rsidRPr="00A56A28">
        <w:rPr>
          <w:rFonts w:ascii="Garamond" w:hAnsi="Garamond"/>
          <w:i/>
          <w:iCs/>
        </w:rPr>
        <w:t>il a prescrites, la demande ne peut être présentée qu</w:t>
      </w:r>
      <w:r w:rsidR="00F86CA7">
        <w:rPr>
          <w:rFonts w:ascii="Garamond" w:hAnsi="Garamond"/>
          <w:i/>
          <w:iCs/>
        </w:rPr>
        <w:t>’</w:t>
      </w:r>
      <w:r w:rsidRPr="00A56A28">
        <w:rPr>
          <w:rFonts w:ascii="Garamond" w:hAnsi="Garamond"/>
          <w:i/>
          <w:iCs/>
        </w:rPr>
        <w:t>à l</w:t>
      </w:r>
      <w:r w:rsidR="00F86CA7">
        <w:rPr>
          <w:rFonts w:ascii="Garamond" w:hAnsi="Garamond"/>
          <w:i/>
          <w:iCs/>
        </w:rPr>
        <w:t>’</w:t>
      </w:r>
      <w:r w:rsidRPr="00A56A28">
        <w:rPr>
          <w:rFonts w:ascii="Garamond" w:hAnsi="Garamond"/>
          <w:i/>
          <w:iCs/>
        </w:rPr>
        <w:t>expiration de ce délai</w:t>
      </w:r>
      <w:r>
        <w:rPr>
          <w:rFonts w:ascii="Garamond" w:hAnsi="Garamond"/>
        </w:rPr>
        <w:t xml:space="preserve"> ». </w:t>
      </w:r>
    </w:p>
    <w:p w14:paraId="25F71E48" w14:textId="77777777" w:rsidR="00A56A28" w:rsidRDefault="00A56A28" w:rsidP="00A56A28">
      <w:pPr>
        <w:spacing w:line="252" w:lineRule="auto"/>
        <w:jc w:val="both"/>
        <w:rPr>
          <w:rFonts w:ascii="Garamond" w:hAnsi="Garamond"/>
        </w:rPr>
      </w:pPr>
    </w:p>
    <w:p w14:paraId="16D750EF" w14:textId="2586B75E" w:rsidR="00A56A28" w:rsidRDefault="00A56A28" w:rsidP="00A56A28">
      <w:pPr>
        <w:spacing w:line="252" w:lineRule="auto"/>
        <w:jc w:val="both"/>
        <w:rPr>
          <w:rFonts w:ascii="Garamond" w:hAnsi="Garamond"/>
        </w:rPr>
      </w:pPr>
      <w:r>
        <w:rPr>
          <w:rFonts w:ascii="Garamond" w:hAnsi="Garamond"/>
        </w:rPr>
        <w:t xml:space="preserve">Son article R. 921-5 ajoute que : </w:t>
      </w:r>
    </w:p>
    <w:p w14:paraId="67D7C345" w14:textId="77777777" w:rsidR="00A56A28" w:rsidRDefault="00A56A28" w:rsidP="00A56A28">
      <w:pPr>
        <w:spacing w:line="252" w:lineRule="auto"/>
        <w:jc w:val="both"/>
        <w:rPr>
          <w:rFonts w:ascii="Garamond" w:hAnsi="Garamond"/>
        </w:rPr>
      </w:pPr>
    </w:p>
    <w:p w14:paraId="3837319F" w14:textId="1577B219" w:rsidR="00A56A28" w:rsidRDefault="00A56A28" w:rsidP="00A56A28">
      <w:pPr>
        <w:spacing w:line="252" w:lineRule="auto"/>
        <w:ind w:left="567"/>
        <w:jc w:val="both"/>
        <w:rPr>
          <w:rFonts w:ascii="Garamond" w:hAnsi="Garamond"/>
        </w:rPr>
      </w:pPr>
      <w:r>
        <w:rPr>
          <w:rFonts w:ascii="Garamond" w:hAnsi="Garamond"/>
        </w:rPr>
        <w:t>« </w:t>
      </w:r>
      <w:r w:rsidRPr="00A56A28">
        <w:rPr>
          <w:rFonts w:ascii="Garamond" w:hAnsi="Garamond"/>
          <w:i/>
          <w:iCs/>
        </w:rPr>
        <w:t>Le président de la cour administrative d</w:t>
      </w:r>
      <w:r w:rsidR="00F86CA7">
        <w:rPr>
          <w:rFonts w:ascii="Garamond" w:hAnsi="Garamond"/>
          <w:i/>
          <w:iCs/>
        </w:rPr>
        <w:t>’</w:t>
      </w:r>
      <w:r w:rsidRPr="00A56A28">
        <w:rPr>
          <w:rFonts w:ascii="Garamond" w:hAnsi="Garamond"/>
          <w:i/>
          <w:iCs/>
        </w:rPr>
        <w:t>appel ou du tribunal administratif saisi d</w:t>
      </w:r>
      <w:r w:rsidR="00F86CA7">
        <w:rPr>
          <w:rFonts w:ascii="Garamond" w:hAnsi="Garamond"/>
          <w:i/>
          <w:iCs/>
        </w:rPr>
        <w:t>’</w:t>
      </w:r>
      <w:r w:rsidRPr="00A56A28">
        <w:rPr>
          <w:rFonts w:ascii="Garamond" w:hAnsi="Garamond"/>
          <w:i/>
          <w:iCs/>
        </w:rPr>
        <w:t>une demande d</w:t>
      </w:r>
      <w:r w:rsidR="00F86CA7">
        <w:rPr>
          <w:rFonts w:ascii="Garamond" w:hAnsi="Garamond"/>
          <w:i/>
          <w:iCs/>
        </w:rPr>
        <w:t>’</w:t>
      </w:r>
      <w:r w:rsidRPr="00A56A28">
        <w:rPr>
          <w:rFonts w:ascii="Garamond" w:hAnsi="Garamond"/>
          <w:i/>
          <w:iCs/>
        </w:rPr>
        <w:t>exécution sur le fondement de l</w:t>
      </w:r>
      <w:r w:rsidR="00F86CA7">
        <w:rPr>
          <w:rFonts w:ascii="Garamond" w:hAnsi="Garamond"/>
          <w:i/>
          <w:iCs/>
        </w:rPr>
        <w:t>’</w:t>
      </w:r>
      <w:r w:rsidRPr="00A56A28">
        <w:rPr>
          <w:rFonts w:ascii="Garamond" w:hAnsi="Garamond"/>
          <w:i/>
          <w:iCs/>
        </w:rPr>
        <w:t>article L. 911-4, ou le rapporteur désigné à cette fin, accomplissent toutes diligences qu</w:t>
      </w:r>
      <w:r w:rsidR="00F86CA7">
        <w:rPr>
          <w:rFonts w:ascii="Garamond" w:hAnsi="Garamond"/>
          <w:i/>
          <w:iCs/>
        </w:rPr>
        <w:t>’</w:t>
      </w:r>
      <w:r w:rsidRPr="00A56A28">
        <w:rPr>
          <w:rFonts w:ascii="Garamond" w:hAnsi="Garamond"/>
          <w:i/>
          <w:iCs/>
        </w:rPr>
        <w:t>ils jugent utiles pour assurer l</w:t>
      </w:r>
      <w:r w:rsidR="00F86CA7">
        <w:rPr>
          <w:rFonts w:ascii="Garamond" w:hAnsi="Garamond"/>
          <w:i/>
          <w:iCs/>
        </w:rPr>
        <w:t>’</w:t>
      </w:r>
      <w:r w:rsidRPr="00A56A28">
        <w:rPr>
          <w:rFonts w:ascii="Garamond" w:hAnsi="Garamond"/>
          <w:i/>
          <w:iCs/>
        </w:rPr>
        <w:t>exécution de la décision juridictionnelle qui fait l</w:t>
      </w:r>
      <w:r w:rsidR="00F86CA7">
        <w:rPr>
          <w:rFonts w:ascii="Garamond" w:hAnsi="Garamond"/>
          <w:i/>
          <w:iCs/>
        </w:rPr>
        <w:t>’</w:t>
      </w:r>
      <w:r w:rsidRPr="00A56A28">
        <w:rPr>
          <w:rFonts w:ascii="Garamond" w:hAnsi="Garamond"/>
          <w:i/>
          <w:iCs/>
        </w:rPr>
        <w:t>objet de la demande.</w:t>
      </w:r>
      <w:r>
        <w:rPr>
          <w:rFonts w:ascii="Garamond" w:hAnsi="Garamond"/>
        </w:rPr>
        <w:t xml:space="preserve"> […] ». </w:t>
      </w:r>
    </w:p>
    <w:p w14:paraId="0606A3D7" w14:textId="77777777" w:rsidR="00A56A28" w:rsidRDefault="00A56A28" w:rsidP="00A56A28">
      <w:pPr>
        <w:spacing w:line="252" w:lineRule="auto"/>
        <w:jc w:val="both"/>
        <w:rPr>
          <w:rFonts w:ascii="Garamond" w:hAnsi="Garamond"/>
        </w:rPr>
      </w:pPr>
    </w:p>
    <w:p w14:paraId="6145BDEF" w14:textId="1E37E20E" w:rsidR="00A56A28" w:rsidRDefault="00A56A28" w:rsidP="00A56A28">
      <w:pPr>
        <w:spacing w:line="252" w:lineRule="auto"/>
        <w:jc w:val="both"/>
        <w:rPr>
          <w:rFonts w:ascii="Garamond" w:hAnsi="Garamond"/>
        </w:rPr>
      </w:pPr>
      <w:r>
        <w:rPr>
          <w:rFonts w:ascii="Garamond" w:hAnsi="Garamond"/>
        </w:rPr>
        <w:t xml:space="preserve">Enfin, son article R. 921-6 précise que : </w:t>
      </w:r>
    </w:p>
    <w:p w14:paraId="48E51430" w14:textId="77777777" w:rsidR="00A56A28" w:rsidRDefault="00A56A28" w:rsidP="00A56A28">
      <w:pPr>
        <w:spacing w:line="252" w:lineRule="auto"/>
        <w:jc w:val="both"/>
        <w:rPr>
          <w:rFonts w:ascii="Garamond" w:hAnsi="Garamond"/>
        </w:rPr>
      </w:pPr>
    </w:p>
    <w:p w14:paraId="66C43876" w14:textId="29954272" w:rsidR="00A56A28" w:rsidRPr="00A56A28" w:rsidRDefault="00A56A28" w:rsidP="00A56A28">
      <w:pPr>
        <w:spacing w:line="252" w:lineRule="auto"/>
        <w:ind w:left="567"/>
        <w:jc w:val="both"/>
        <w:rPr>
          <w:rFonts w:ascii="Garamond" w:hAnsi="Garamond"/>
          <w:i/>
          <w:iCs/>
        </w:rPr>
      </w:pPr>
      <w:r>
        <w:rPr>
          <w:rFonts w:ascii="Garamond" w:hAnsi="Garamond"/>
        </w:rPr>
        <w:t>« </w:t>
      </w:r>
      <w:r w:rsidRPr="00A56A28">
        <w:rPr>
          <w:rFonts w:ascii="Garamond" w:hAnsi="Garamond"/>
          <w:i/>
          <w:iCs/>
        </w:rPr>
        <w:t>Dans le cas où le président estime nécessaire de prescrire des mesures d</w:t>
      </w:r>
      <w:r w:rsidR="00F86CA7">
        <w:rPr>
          <w:rFonts w:ascii="Garamond" w:hAnsi="Garamond"/>
          <w:i/>
          <w:iCs/>
        </w:rPr>
        <w:t>’</w:t>
      </w:r>
      <w:r w:rsidRPr="00A56A28">
        <w:rPr>
          <w:rFonts w:ascii="Garamond" w:hAnsi="Garamond"/>
          <w:i/>
          <w:iCs/>
        </w:rPr>
        <w:t>exécution par voie juridictionnelle, et notamment de prononcer une astreinte, ou lorsque le demandeur le sollicite dans le mois qui suit la notification du classement décidé en vertu du dernier alinéa de l</w:t>
      </w:r>
      <w:r w:rsidR="00F86CA7">
        <w:rPr>
          <w:rFonts w:ascii="Garamond" w:hAnsi="Garamond"/>
          <w:i/>
          <w:iCs/>
        </w:rPr>
        <w:t>’</w:t>
      </w:r>
      <w:r w:rsidRPr="00A56A28">
        <w:rPr>
          <w:rFonts w:ascii="Garamond" w:hAnsi="Garamond"/>
          <w:i/>
          <w:iCs/>
        </w:rPr>
        <w:t>article précédent et, en tout état de cause, à l</w:t>
      </w:r>
      <w:r w:rsidR="00F86CA7">
        <w:rPr>
          <w:rFonts w:ascii="Garamond" w:hAnsi="Garamond"/>
          <w:i/>
          <w:iCs/>
        </w:rPr>
        <w:t>’</w:t>
      </w:r>
      <w:r w:rsidRPr="00A56A28">
        <w:rPr>
          <w:rFonts w:ascii="Garamond" w:hAnsi="Garamond"/>
          <w:i/>
          <w:iCs/>
        </w:rPr>
        <w:t>expiration d</w:t>
      </w:r>
      <w:r w:rsidR="00F86CA7">
        <w:rPr>
          <w:rFonts w:ascii="Garamond" w:hAnsi="Garamond"/>
          <w:i/>
          <w:iCs/>
        </w:rPr>
        <w:t>’</w:t>
      </w:r>
      <w:r w:rsidRPr="00A56A28">
        <w:rPr>
          <w:rFonts w:ascii="Garamond" w:hAnsi="Garamond"/>
          <w:i/>
          <w:iCs/>
        </w:rPr>
        <w:t>un délai de six mois à compter de sa saisine, le président de la cour ou du tribunal ouvre par ordonnance une procédure juridictionnelle.</w:t>
      </w:r>
    </w:p>
    <w:p w14:paraId="10B705B9" w14:textId="77777777" w:rsidR="00A56A28" w:rsidRPr="00A56A28" w:rsidRDefault="00A56A28" w:rsidP="00A56A28">
      <w:pPr>
        <w:spacing w:line="252" w:lineRule="auto"/>
        <w:ind w:left="567"/>
        <w:jc w:val="both"/>
        <w:rPr>
          <w:rFonts w:ascii="Garamond" w:hAnsi="Garamond"/>
          <w:i/>
          <w:iCs/>
        </w:rPr>
      </w:pPr>
    </w:p>
    <w:p w14:paraId="329C68B9" w14:textId="6AC738A6" w:rsidR="00A56A28" w:rsidRDefault="00A56A28" w:rsidP="00A56A28">
      <w:pPr>
        <w:spacing w:line="252" w:lineRule="auto"/>
        <w:ind w:left="567"/>
        <w:jc w:val="both"/>
        <w:rPr>
          <w:rFonts w:ascii="Garamond" w:hAnsi="Garamond"/>
        </w:rPr>
      </w:pPr>
      <w:r w:rsidRPr="00A56A28">
        <w:rPr>
          <w:rFonts w:ascii="Garamond" w:hAnsi="Garamond"/>
          <w:i/>
          <w:iCs/>
        </w:rPr>
        <w:t>Toutefois, à l</w:t>
      </w:r>
      <w:r w:rsidR="00F86CA7">
        <w:rPr>
          <w:rFonts w:ascii="Garamond" w:hAnsi="Garamond"/>
          <w:i/>
          <w:iCs/>
        </w:rPr>
        <w:t>’</w:t>
      </w:r>
      <w:r w:rsidRPr="00A56A28">
        <w:rPr>
          <w:rFonts w:ascii="Garamond" w:hAnsi="Garamond"/>
          <w:i/>
          <w:iCs/>
        </w:rPr>
        <w:t>expiration de ce délai de six mois, lorsque le président estime que les diligences accomplies sont susceptibles de permettre, à court terme, l</w:t>
      </w:r>
      <w:r w:rsidR="00F86CA7">
        <w:rPr>
          <w:rFonts w:ascii="Garamond" w:hAnsi="Garamond"/>
          <w:i/>
          <w:iCs/>
        </w:rPr>
        <w:t>’</w:t>
      </w:r>
      <w:r w:rsidRPr="00A56A28">
        <w:rPr>
          <w:rFonts w:ascii="Garamond" w:hAnsi="Garamond"/>
          <w:i/>
          <w:iCs/>
        </w:rPr>
        <w:t>exécution de la décision, il informe le demandeur que la procédure juridictionnelle ne sera ouverte, le cas échéant, qu</w:t>
      </w:r>
      <w:r w:rsidR="00F86CA7">
        <w:rPr>
          <w:rFonts w:ascii="Garamond" w:hAnsi="Garamond"/>
          <w:i/>
          <w:iCs/>
        </w:rPr>
        <w:t>’</w:t>
      </w:r>
      <w:r w:rsidRPr="00A56A28">
        <w:rPr>
          <w:rFonts w:ascii="Garamond" w:hAnsi="Garamond"/>
          <w:i/>
          <w:iCs/>
        </w:rPr>
        <w:t>à l</w:t>
      </w:r>
      <w:r w:rsidR="00F86CA7">
        <w:rPr>
          <w:rFonts w:ascii="Garamond" w:hAnsi="Garamond"/>
          <w:i/>
          <w:iCs/>
        </w:rPr>
        <w:t>’</w:t>
      </w:r>
      <w:r w:rsidRPr="00A56A28">
        <w:rPr>
          <w:rFonts w:ascii="Garamond" w:hAnsi="Garamond"/>
          <w:i/>
          <w:iCs/>
        </w:rPr>
        <w:t>expiration d</w:t>
      </w:r>
      <w:r w:rsidR="00F86CA7">
        <w:rPr>
          <w:rFonts w:ascii="Garamond" w:hAnsi="Garamond"/>
          <w:i/>
          <w:iCs/>
        </w:rPr>
        <w:t>’</w:t>
      </w:r>
      <w:r w:rsidRPr="00A56A28">
        <w:rPr>
          <w:rFonts w:ascii="Garamond" w:hAnsi="Garamond"/>
          <w:i/>
          <w:iCs/>
        </w:rPr>
        <w:t>un délai supplémentaire de quatre mois.</w:t>
      </w:r>
      <w:r>
        <w:rPr>
          <w:rFonts w:ascii="Garamond" w:hAnsi="Garamond"/>
        </w:rPr>
        <w:t xml:space="preserve"> […] ». </w:t>
      </w:r>
    </w:p>
    <w:p w14:paraId="17B1CBD0" w14:textId="77777777" w:rsidR="00936C54" w:rsidRPr="00F52A38" w:rsidRDefault="00936C54" w:rsidP="00936C54">
      <w:pPr>
        <w:spacing w:line="252" w:lineRule="auto"/>
        <w:jc w:val="both"/>
        <w:rPr>
          <w:rFonts w:ascii="Garamond" w:hAnsi="Garamond"/>
        </w:rPr>
      </w:pPr>
    </w:p>
    <w:p w14:paraId="1AE4A529" w14:textId="77777777" w:rsidR="00936C54" w:rsidRPr="00F52A38" w:rsidRDefault="00936C54" w:rsidP="00936C54">
      <w:pPr>
        <w:numPr>
          <w:ilvl w:val="0"/>
          <w:numId w:val="1"/>
        </w:numPr>
        <w:spacing w:line="252" w:lineRule="auto"/>
        <w:ind w:left="0" w:firstLine="0"/>
        <w:jc w:val="both"/>
        <w:rPr>
          <w:rFonts w:ascii="Garamond" w:hAnsi="Garamond"/>
        </w:rPr>
      </w:pPr>
    </w:p>
    <w:p w14:paraId="344285A4" w14:textId="77777777" w:rsidR="004C6C63" w:rsidRDefault="004C6C63" w:rsidP="001C3EA9">
      <w:pPr>
        <w:spacing w:line="252" w:lineRule="auto"/>
        <w:jc w:val="both"/>
        <w:rPr>
          <w:rFonts w:ascii="Garamond" w:hAnsi="Garamond"/>
        </w:rPr>
      </w:pPr>
    </w:p>
    <w:p w14:paraId="1386D1A8" w14:textId="32913808" w:rsidR="00936C54" w:rsidRDefault="004C6C63" w:rsidP="00936C54">
      <w:pPr>
        <w:spacing w:line="252" w:lineRule="auto"/>
        <w:jc w:val="both"/>
        <w:rPr>
          <w:rFonts w:ascii="Garamond" w:hAnsi="Garamond"/>
        </w:rPr>
      </w:pPr>
      <w:r>
        <w:rPr>
          <w:rFonts w:ascii="Garamond" w:hAnsi="Garamond"/>
        </w:rPr>
        <w:t>En application de ces dispositions</w:t>
      </w:r>
      <w:r w:rsidR="00936C54">
        <w:rPr>
          <w:rFonts w:ascii="Garamond" w:hAnsi="Garamond"/>
        </w:rPr>
        <w:t>, les juridictions administratives sont, par principe, compétentes pour régler les difficultés rencontrées dans le cadre de l</w:t>
      </w:r>
      <w:r w:rsidR="00F86CA7">
        <w:rPr>
          <w:rFonts w:ascii="Garamond" w:hAnsi="Garamond"/>
        </w:rPr>
        <w:t>’</w:t>
      </w:r>
      <w:r w:rsidR="00936C54">
        <w:rPr>
          <w:rFonts w:ascii="Garamond" w:hAnsi="Garamond"/>
        </w:rPr>
        <w:t xml:space="preserve">exécution de leurs décisions juridictionnelles devenues définitives, </w:t>
      </w:r>
      <w:r w:rsidR="00165BAC">
        <w:rPr>
          <w:rFonts w:ascii="Garamond" w:hAnsi="Garamond"/>
        </w:rPr>
        <w:t>en particulier</w:t>
      </w:r>
      <w:r w:rsidR="00936C54">
        <w:rPr>
          <w:rFonts w:ascii="Garamond" w:hAnsi="Garamond"/>
        </w:rPr>
        <w:t xml:space="preserve"> lorsque les autorités administratives se sont abstenues de prendre les mesures qu</w:t>
      </w:r>
      <w:r w:rsidR="00F86CA7">
        <w:rPr>
          <w:rFonts w:ascii="Garamond" w:hAnsi="Garamond"/>
        </w:rPr>
        <w:t>’</w:t>
      </w:r>
      <w:r w:rsidR="00936C54">
        <w:rPr>
          <w:rFonts w:ascii="Garamond" w:hAnsi="Garamond"/>
        </w:rPr>
        <w:t xml:space="preserve">impliquait le respect de ces décisions. </w:t>
      </w:r>
    </w:p>
    <w:p w14:paraId="73B1DE49" w14:textId="77777777" w:rsidR="00936C54" w:rsidRDefault="00936C54" w:rsidP="00936C54">
      <w:pPr>
        <w:spacing w:line="252" w:lineRule="auto"/>
        <w:jc w:val="both"/>
        <w:rPr>
          <w:rFonts w:ascii="Garamond" w:hAnsi="Garamond"/>
        </w:rPr>
      </w:pPr>
    </w:p>
    <w:p w14:paraId="49EB4A3F" w14:textId="7DACCD57" w:rsidR="00936C54" w:rsidRDefault="00936C54" w:rsidP="00936C54">
      <w:pPr>
        <w:spacing w:line="252" w:lineRule="auto"/>
        <w:jc w:val="both"/>
        <w:rPr>
          <w:rFonts w:ascii="Garamond" w:hAnsi="Garamond"/>
        </w:rPr>
      </w:pPr>
      <w:r>
        <w:rPr>
          <w:rFonts w:ascii="Garamond" w:hAnsi="Garamond"/>
        </w:rPr>
        <w:t>Ainsi, en cas d</w:t>
      </w:r>
      <w:r w:rsidR="00F86CA7">
        <w:rPr>
          <w:rFonts w:ascii="Garamond" w:hAnsi="Garamond"/>
        </w:rPr>
        <w:t>’</w:t>
      </w:r>
      <w:r>
        <w:rPr>
          <w:rFonts w:ascii="Garamond" w:hAnsi="Garamond"/>
        </w:rPr>
        <w:t>abstention de l</w:t>
      </w:r>
      <w:r w:rsidR="00F86CA7">
        <w:rPr>
          <w:rFonts w:ascii="Garamond" w:hAnsi="Garamond"/>
        </w:rPr>
        <w:t>’</w:t>
      </w:r>
      <w:r>
        <w:rPr>
          <w:rFonts w:ascii="Garamond" w:hAnsi="Garamond"/>
        </w:rPr>
        <w:t>administration de prendre</w:t>
      </w:r>
      <w:r w:rsidR="006B1EB8">
        <w:rPr>
          <w:rFonts w:ascii="Garamond" w:hAnsi="Garamond"/>
        </w:rPr>
        <w:t>, par exemple,</w:t>
      </w:r>
      <w:r>
        <w:rPr>
          <w:rFonts w:ascii="Garamond" w:hAnsi="Garamond"/>
        </w:rPr>
        <w:t xml:space="preserve"> les mesures prescrites à la suite d</w:t>
      </w:r>
      <w:r w:rsidR="00F86CA7">
        <w:rPr>
          <w:rFonts w:ascii="Garamond" w:hAnsi="Garamond"/>
        </w:rPr>
        <w:t>’</w:t>
      </w:r>
      <w:r>
        <w:rPr>
          <w:rFonts w:ascii="Garamond" w:hAnsi="Garamond"/>
        </w:rPr>
        <w:t>une injonction, l</w:t>
      </w:r>
      <w:r w:rsidR="00F86CA7">
        <w:rPr>
          <w:rFonts w:ascii="Garamond" w:hAnsi="Garamond"/>
        </w:rPr>
        <w:t>’</w:t>
      </w:r>
      <w:r>
        <w:rPr>
          <w:rFonts w:ascii="Garamond" w:hAnsi="Garamond"/>
        </w:rPr>
        <w:t>article L. 911-4 précité permet aux tribunaux administratifs</w:t>
      </w:r>
      <w:r w:rsidR="006B1EB8">
        <w:rPr>
          <w:rFonts w:ascii="Garamond" w:hAnsi="Garamond"/>
        </w:rPr>
        <w:t>, saisis d</w:t>
      </w:r>
      <w:r w:rsidR="00F86CA7">
        <w:rPr>
          <w:rFonts w:ascii="Garamond" w:hAnsi="Garamond"/>
        </w:rPr>
        <w:t>’</w:t>
      </w:r>
      <w:r w:rsidR="006B1EB8">
        <w:rPr>
          <w:rFonts w:ascii="Garamond" w:hAnsi="Garamond"/>
        </w:rPr>
        <w:t xml:space="preserve">une demande en ce sens, </w:t>
      </w:r>
      <w:r>
        <w:rPr>
          <w:rFonts w:ascii="Garamond" w:hAnsi="Garamond"/>
        </w:rPr>
        <w:t>de pourvoir à l</w:t>
      </w:r>
      <w:r w:rsidR="00F86CA7">
        <w:rPr>
          <w:rFonts w:ascii="Garamond" w:hAnsi="Garamond"/>
        </w:rPr>
        <w:t>’</w:t>
      </w:r>
      <w:r>
        <w:rPr>
          <w:rFonts w:ascii="Garamond" w:hAnsi="Garamond"/>
        </w:rPr>
        <w:t>exécution de leurs jugements</w:t>
      </w:r>
      <w:r w:rsidR="006B1EB8">
        <w:rPr>
          <w:rFonts w:ascii="Garamond" w:hAnsi="Garamond"/>
        </w:rPr>
        <w:t xml:space="preserve"> (en ce sens : </w:t>
      </w:r>
      <w:r w:rsidR="006B1EB8" w:rsidRPr="006B1EB8">
        <w:rPr>
          <w:rFonts w:ascii="Garamond" w:hAnsi="Garamond"/>
        </w:rPr>
        <w:t>CE 24 déc</w:t>
      </w:r>
      <w:r w:rsidR="006B1EB8">
        <w:rPr>
          <w:rFonts w:ascii="Garamond" w:hAnsi="Garamond"/>
        </w:rPr>
        <w:t xml:space="preserve">embre </w:t>
      </w:r>
      <w:r w:rsidR="006B1EB8" w:rsidRPr="006B1EB8">
        <w:rPr>
          <w:rFonts w:ascii="Garamond" w:hAnsi="Garamond"/>
        </w:rPr>
        <w:t xml:space="preserve">2021, </w:t>
      </w:r>
      <w:r w:rsidR="006B1EB8" w:rsidRPr="006B1EB8">
        <w:rPr>
          <w:rFonts w:ascii="Garamond" w:hAnsi="Garamond"/>
          <w:i/>
          <w:iCs/>
        </w:rPr>
        <w:t>Section française de l</w:t>
      </w:r>
      <w:r w:rsidR="00F86CA7">
        <w:rPr>
          <w:rFonts w:ascii="Garamond" w:hAnsi="Garamond"/>
          <w:i/>
          <w:iCs/>
        </w:rPr>
        <w:t>’</w:t>
      </w:r>
      <w:r w:rsidR="006B1EB8" w:rsidRPr="006B1EB8">
        <w:rPr>
          <w:rFonts w:ascii="Garamond" w:hAnsi="Garamond"/>
          <w:i/>
          <w:iCs/>
        </w:rPr>
        <w:t>Observatoire international des prisons</w:t>
      </w:r>
      <w:r w:rsidR="006B1EB8" w:rsidRPr="006B1EB8">
        <w:rPr>
          <w:rFonts w:ascii="Garamond" w:hAnsi="Garamond"/>
        </w:rPr>
        <w:t xml:space="preserve">, </w:t>
      </w:r>
      <w:r w:rsidR="006B1EB8">
        <w:rPr>
          <w:rFonts w:ascii="Garamond" w:hAnsi="Garamond"/>
        </w:rPr>
        <w:t>n° </w:t>
      </w:r>
      <w:r w:rsidR="006B1EB8" w:rsidRPr="006B1EB8">
        <w:rPr>
          <w:rFonts w:ascii="Garamond" w:hAnsi="Garamond"/>
        </w:rPr>
        <w:t>435622</w:t>
      </w:r>
      <w:r w:rsidR="006B1EB8">
        <w:rPr>
          <w:rFonts w:ascii="Garamond" w:hAnsi="Garamond"/>
        </w:rPr>
        <w:t>, m</w:t>
      </w:r>
      <w:r w:rsidR="006B1EB8" w:rsidRPr="006B1EB8">
        <w:rPr>
          <w:rFonts w:ascii="Garamond" w:hAnsi="Garamond"/>
        </w:rPr>
        <w:t>entionné dans les tables du recueil Lebon</w:t>
      </w:r>
      <w:r w:rsidR="006B1EB8">
        <w:rPr>
          <w:rFonts w:ascii="Garamond" w:hAnsi="Garamond"/>
        </w:rPr>
        <w:t xml:space="preserve">). </w:t>
      </w:r>
    </w:p>
    <w:p w14:paraId="0018DF60" w14:textId="77777777" w:rsidR="006B1EB8" w:rsidRDefault="006B1EB8" w:rsidP="00936C54">
      <w:pPr>
        <w:spacing w:line="252" w:lineRule="auto"/>
        <w:jc w:val="both"/>
        <w:rPr>
          <w:rFonts w:ascii="Garamond" w:hAnsi="Garamond"/>
        </w:rPr>
      </w:pPr>
    </w:p>
    <w:p w14:paraId="49E59C0D" w14:textId="0440B4E0" w:rsidR="00165BAC" w:rsidRDefault="00165BAC" w:rsidP="00936C54">
      <w:pPr>
        <w:spacing w:line="252" w:lineRule="auto"/>
        <w:jc w:val="both"/>
        <w:rPr>
          <w:rFonts w:ascii="Garamond" w:hAnsi="Garamond"/>
        </w:rPr>
      </w:pPr>
      <w:r>
        <w:rPr>
          <w:rFonts w:ascii="Garamond" w:hAnsi="Garamond"/>
        </w:rPr>
        <w:t>Pour ce faire, ils peuvent no</w:t>
      </w:r>
      <w:r w:rsidR="00A12A80">
        <w:rPr>
          <w:rFonts w:ascii="Garamond" w:hAnsi="Garamond"/>
        </w:rPr>
        <w:t>n seulement</w:t>
      </w:r>
      <w:r>
        <w:rPr>
          <w:rFonts w:ascii="Garamond" w:hAnsi="Garamond"/>
        </w:rPr>
        <w:t xml:space="preserve"> préciser la portée des mesures initialement ordonnées par la décision non exécutée</w:t>
      </w:r>
      <w:r w:rsidR="00A12A80">
        <w:rPr>
          <w:rFonts w:ascii="Garamond" w:hAnsi="Garamond"/>
        </w:rPr>
        <w:t xml:space="preserve"> ou, le cas échéant,</w:t>
      </w:r>
      <w:r>
        <w:rPr>
          <w:rFonts w:ascii="Garamond" w:hAnsi="Garamond"/>
        </w:rPr>
        <w:t xml:space="preserve"> en </w:t>
      </w:r>
      <w:r w:rsidR="00A12A80">
        <w:rPr>
          <w:rFonts w:ascii="Garamond" w:hAnsi="Garamond"/>
        </w:rPr>
        <w:t>prescrire</w:t>
      </w:r>
      <w:r>
        <w:rPr>
          <w:rFonts w:ascii="Garamond" w:hAnsi="Garamond"/>
        </w:rPr>
        <w:t xml:space="preserve"> de nouvelles, </w:t>
      </w:r>
      <w:r w:rsidR="00A12A80">
        <w:rPr>
          <w:rFonts w:ascii="Garamond" w:hAnsi="Garamond"/>
        </w:rPr>
        <w:t xml:space="preserve">mais également </w:t>
      </w:r>
      <w:r>
        <w:rPr>
          <w:rFonts w:ascii="Garamond" w:hAnsi="Garamond"/>
        </w:rPr>
        <w:t>fixer un délai d</w:t>
      </w:r>
      <w:r w:rsidR="00F86CA7">
        <w:rPr>
          <w:rFonts w:ascii="Garamond" w:hAnsi="Garamond"/>
        </w:rPr>
        <w:t>’</w:t>
      </w:r>
      <w:r>
        <w:rPr>
          <w:rFonts w:ascii="Garamond" w:hAnsi="Garamond"/>
        </w:rPr>
        <w:t>exécution</w:t>
      </w:r>
      <w:r w:rsidR="00A12A80">
        <w:rPr>
          <w:rFonts w:ascii="Garamond" w:hAnsi="Garamond"/>
        </w:rPr>
        <w:t xml:space="preserve"> et, surtout,</w:t>
      </w:r>
      <w:r>
        <w:rPr>
          <w:rFonts w:ascii="Garamond" w:hAnsi="Garamond"/>
        </w:rPr>
        <w:t xml:space="preserve"> prononcer une astreinte. </w:t>
      </w:r>
    </w:p>
    <w:p w14:paraId="4742AB63" w14:textId="77777777" w:rsidR="00A12A80" w:rsidRDefault="00A12A80" w:rsidP="00936C54">
      <w:pPr>
        <w:spacing w:line="252" w:lineRule="auto"/>
        <w:jc w:val="both"/>
        <w:rPr>
          <w:rFonts w:ascii="Garamond" w:hAnsi="Garamond"/>
        </w:rPr>
      </w:pPr>
    </w:p>
    <w:p w14:paraId="4E1F6549" w14:textId="429A0FCA" w:rsidR="00A12A80" w:rsidRDefault="00A12A80" w:rsidP="00936C54">
      <w:pPr>
        <w:spacing w:line="252" w:lineRule="auto"/>
        <w:jc w:val="both"/>
        <w:rPr>
          <w:rFonts w:ascii="Garamond" w:hAnsi="Garamond"/>
        </w:rPr>
      </w:pPr>
      <w:r>
        <w:rPr>
          <w:rFonts w:ascii="Garamond" w:hAnsi="Garamond"/>
        </w:rPr>
        <w:t>En ce sens, le Conseil d</w:t>
      </w:r>
      <w:r w:rsidR="00F86CA7">
        <w:rPr>
          <w:rFonts w:ascii="Garamond" w:hAnsi="Garamond"/>
        </w:rPr>
        <w:t>’</w:t>
      </w:r>
      <w:r>
        <w:rPr>
          <w:rFonts w:ascii="Garamond" w:hAnsi="Garamond"/>
        </w:rPr>
        <w:t xml:space="preserve">État juge que : </w:t>
      </w:r>
    </w:p>
    <w:p w14:paraId="2EC6AA40" w14:textId="77777777" w:rsidR="00A12A80" w:rsidRDefault="00A12A80" w:rsidP="00936C54">
      <w:pPr>
        <w:spacing w:line="252" w:lineRule="auto"/>
        <w:jc w:val="both"/>
        <w:rPr>
          <w:rFonts w:ascii="Garamond" w:hAnsi="Garamond"/>
        </w:rPr>
      </w:pPr>
    </w:p>
    <w:p w14:paraId="266A9726" w14:textId="0DEE3FBD" w:rsidR="00A12A80" w:rsidRPr="00A12A80" w:rsidRDefault="00A12A80" w:rsidP="00A12A80">
      <w:pPr>
        <w:spacing w:line="252" w:lineRule="auto"/>
        <w:ind w:left="567"/>
        <w:jc w:val="both"/>
        <w:rPr>
          <w:rFonts w:ascii="Garamond" w:hAnsi="Garamond"/>
        </w:rPr>
      </w:pPr>
      <w:r>
        <w:rPr>
          <w:rFonts w:ascii="Garamond" w:hAnsi="Garamond"/>
        </w:rPr>
        <w:t>« </w:t>
      </w:r>
      <w:r w:rsidRPr="00A12A80">
        <w:rPr>
          <w:rFonts w:ascii="Garamond" w:hAnsi="Garamond"/>
          <w:i/>
          <w:iCs/>
        </w:rPr>
        <w:t>2. Considérant, d</w:t>
      </w:r>
      <w:r w:rsidR="00F86CA7">
        <w:rPr>
          <w:rFonts w:ascii="Garamond" w:hAnsi="Garamond"/>
          <w:i/>
          <w:iCs/>
        </w:rPr>
        <w:t>’</w:t>
      </w:r>
      <w:r w:rsidRPr="00A12A80">
        <w:rPr>
          <w:rFonts w:ascii="Garamond" w:hAnsi="Garamond"/>
          <w:i/>
          <w:iCs/>
        </w:rPr>
        <w:t>une part,</w:t>
      </w:r>
      <w:r w:rsidRPr="00A12A80">
        <w:rPr>
          <w:rFonts w:ascii="Garamond" w:hAnsi="Garamond"/>
        </w:rPr>
        <w:t xml:space="preserve"> </w:t>
      </w:r>
      <w:r>
        <w:rPr>
          <w:rFonts w:ascii="Garamond" w:hAnsi="Garamond"/>
        </w:rPr>
        <w:t>[…]</w:t>
      </w:r>
      <w:r w:rsidRPr="00A12A80">
        <w:rPr>
          <w:rFonts w:ascii="Garamond" w:hAnsi="Garamond"/>
        </w:rPr>
        <w:t xml:space="preserve"> </w:t>
      </w:r>
      <w:r w:rsidRPr="00A12A80">
        <w:rPr>
          <w:rFonts w:ascii="Garamond" w:hAnsi="Garamond"/>
          <w:i/>
          <w:iCs/>
        </w:rPr>
        <w:t>qu</w:t>
      </w:r>
      <w:r w:rsidR="00F86CA7">
        <w:rPr>
          <w:rFonts w:ascii="Garamond" w:hAnsi="Garamond"/>
          <w:i/>
          <w:iCs/>
        </w:rPr>
        <w:t>’</w:t>
      </w:r>
      <w:r w:rsidRPr="00A12A80">
        <w:rPr>
          <w:rFonts w:ascii="Garamond" w:hAnsi="Garamond"/>
          <w:i/>
          <w:iCs/>
        </w:rPr>
        <w:t>en l</w:t>
      </w:r>
      <w:r w:rsidR="00F86CA7">
        <w:rPr>
          <w:rFonts w:ascii="Garamond" w:hAnsi="Garamond"/>
          <w:i/>
          <w:iCs/>
        </w:rPr>
        <w:t>’</w:t>
      </w:r>
      <w:r w:rsidRPr="00A12A80">
        <w:rPr>
          <w:rFonts w:ascii="Garamond" w:hAnsi="Garamond"/>
          <w:i/>
          <w:iCs/>
        </w:rPr>
        <w:t>absence de définition, par le jugement ou l</w:t>
      </w:r>
      <w:r w:rsidR="00F86CA7">
        <w:rPr>
          <w:rFonts w:ascii="Garamond" w:hAnsi="Garamond"/>
          <w:i/>
          <w:iCs/>
        </w:rPr>
        <w:t>’</w:t>
      </w:r>
      <w:r w:rsidRPr="00A12A80">
        <w:rPr>
          <w:rFonts w:ascii="Garamond" w:hAnsi="Garamond"/>
          <w:i/>
          <w:iCs/>
        </w:rPr>
        <w:t>arrêt dont l</w:t>
      </w:r>
      <w:r w:rsidR="00F86CA7">
        <w:rPr>
          <w:rFonts w:ascii="Garamond" w:hAnsi="Garamond"/>
          <w:i/>
          <w:iCs/>
        </w:rPr>
        <w:t>’</w:t>
      </w:r>
      <w:r w:rsidRPr="00A12A80">
        <w:rPr>
          <w:rFonts w:ascii="Garamond" w:hAnsi="Garamond"/>
          <w:i/>
          <w:iCs/>
        </w:rPr>
        <w:t>exécution lui est demandée, des mesures qu</w:t>
      </w:r>
      <w:r w:rsidR="00F86CA7">
        <w:rPr>
          <w:rFonts w:ascii="Garamond" w:hAnsi="Garamond"/>
          <w:i/>
          <w:iCs/>
        </w:rPr>
        <w:t>’</w:t>
      </w:r>
      <w:r w:rsidRPr="00A12A80">
        <w:rPr>
          <w:rFonts w:ascii="Garamond" w:hAnsi="Garamond"/>
          <w:i/>
          <w:iCs/>
        </w:rPr>
        <w:t>implique nécessairement cette décision, il appartient au juge saisi sur le fondement de l</w:t>
      </w:r>
      <w:r w:rsidR="00F86CA7">
        <w:rPr>
          <w:rFonts w:ascii="Garamond" w:hAnsi="Garamond"/>
          <w:i/>
          <w:iCs/>
        </w:rPr>
        <w:t>’</w:t>
      </w:r>
      <w:r w:rsidRPr="00A12A80">
        <w:rPr>
          <w:rFonts w:ascii="Garamond" w:hAnsi="Garamond"/>
          <w:i/>
          <w:iCs/>
        </w:rPr>
        <w:t>article L. 911-4 du code de justice administrative d</w:t>
      </w:r>
      <w:r w:rsidR="00F86CA7">
        <w:rPr>
          <w:rFonts w:ascii="Garamond" w:hAnsi="Garamond"/>
          <w:i/>
          <w:iCs/>
        </w:rPr>
        <w:t>’</w:t>
      </w:r>
      <w:r w:rsidRPr="00A12A80">
        <w:rPr>
          <w:rFonts w:ascii="Garamond" w:hAnsi="Garamond"/>
          <w:i/>
          <w:iCs/>
        </w:rPr>
        <w:t>y procéder lui-même en tenant compte des situations de droit et de fait existant à la date de sa décision ; que, si la décision faisant l</w:t>
      </w:r>
      <w:r w:rsidR="00F86CA7">
        <w:rPr>
          <w:rFonts w:ascii="Garamond" w:hAnsi="Garamond"/>
          <w:i/>
          <w:iCs/>
        </w:rPr>
        <w:t>’</w:t>
      </w:r>
      <w:r w:rsidRPr="00A12A80">
        <w:rPr>
          <w:rFonts w:ascii="Garamond" w:hAnsi="Garamond"/>
          <w:i/>
          <w:iCs/>
        </w:rPr>
        <w:t>objet de la demande d</w:t>
      </w:r>
      <w:r w:rsidR="00F86CA7">
        <w:rPr>
          <w:rFonts w:ascii="Garamond" w:hAnsi="Garamond"/>
          <w:i/>
          <w:iCs/>
        </w:rPr>
        <w:t>’</w:t>
      </w:r>
      <w:r w:rsidRPr="00A12A80">
        <w:rPr>
          <w:rFonts w:ascii="Garamond" w:hAnsi="Garamond"/>
          <w:i/>
          <w:iCs/>
        </w:rPr>
        <w:t>exécution prescrit déjà de telles mesures en application de l</w:t>
      </w:r>
      <w:r w:rsidR="00F86CA7">
        <w:rPr>
          <w:rFonts w:ascii="Garamond" w:hAnsi="Garamond"/>
          <w:i/>
          <w:iCs/>
        </w:rPr>
        <w:t>’</w:t>
      </w:r>
      <w:r w:rsidRPr="00A12A80">
        <w:rPr>
          <w:rFonts w:ascii="Garamond" w:hAnsi="Garamond"/>
          <w:i/>
          <w:iCs/>
        </w:rPr>
        <w:t xml:space="preserve">article L. 911-1 du même code, </w:t>
      </w:r>
      <w:r w:rsidRPr="00A12A80">
        <w:rPr>
          <w:rFonts w:ascii="Garamond" w:hAnsi="Garamond"/>
          <w:i/>
          <w:iCs/>
          <w:u w:val="single"/>
        </w:rPr>
        <w:t>il peut, dans l</w:t>
      </w:r>
      <w:r w:rsidR="00F86CA7">
        <w:rPr>
          <w:rFonts w:ascii="Garamond" w:hAnsi="Garamond"/>
          <w:i/>
          <w:iCs/>
          <w:u w:val="single"/>
        </w:rPr>
        <w:t>’</w:t>
      </w:r>
      <w:r w:rsidRPr="00A12A80">
        <w:rPr>
          <w:rFonts w:ascii="Garamond" w:hAnsi="Garamond"/>
          <w:i/>
          <w:iCs/>
          <w:u w:val="single"/>
        </w:rPr>
        <w:t>hypothèse où elles seraient entachées d</w:t>
      </w:r>
      <w:r w:rsidR="00F86CA7">
        <w:rPr>
          <w:rFonts w:ascii="Garamond" w:hAnsi="Garamond"/>
          <w:i/>
          <w:iCs/>
          <w:u w:val="single"/>
        </w:rPr>
        <w:t>’</w:t>
      </w:r>
      <w:r w:rsidRPr="00A12A80">
        <w:rPr>
          <w:rFonts w:ascii="Garamond" w:hAnsi="Garamond"/>
          <w:i/>
          <w:iCs/>
          <w:u w:val="single"/>
        </w:rPr>
        <w:t>une obscurité ou d</w:t>
      </w:r>
      <w:r w:rsidR="00F86CA7">
        <w:rPr>
          <w:rFonts w:ascii="Garamond" w:hAnsi="Garamond"/>
          <w:i/>
          <w:iCs/>
          <w:u w:val="single"/>
        </w:rPr>
        <w:t>’</w:t>
      </w:r>
      <w:r w:rsidRPr="00A12A80">
        <w:rPr>
          <w:rFonts w:ascii="Garamond" w:hAnsi="Garamond"/>
          <w:i/>
          <w:iCs/>
          <w:u w:val="single"/>
        </w:rPr>
        <w:t>une ambigüité, en préciser la portée</w:t>
      </w:r>
      <w:r w:rsidRPr="00A12A80">
        <w:rPr>
          <w:rFonts w:ascii="Garamond" w:hAnsi="Garamond"/>
          <w:i/>
          <w:iCs/>
        </w:rPr>
        <w:t xml:space="preserve"> ; que, le cas échéant, il lui appartient aussi d</w:t>
      </w:r>
      <w:r w:rsidR="00F86CA7">
        <w:rPr>
          <w:rFonts w:ascii="Garamond" w:hAnsi="Garamond"/>
          <w:i/>
          <w:iCs/>
        </w:rPr>
        <w:t>’</w:t>
      </w:r>
      <w:r w:rsidRPr="00A12A80">
        <w:rPr>
          <w:rFonts w:ascii="Garamond" w:hAnsi="Garamond"/>
          <w:i/>
          <w:iCs/>
          <w:u w:val="single"/>
        </w:rPr>
        <w:t>en édicter de nouvelles en se plaçant, de même, à la date de sa décision</w:t>
      </w:r>
      <w:r w:rsidRPr="00A12A80">
        <w:rPr>
          <w:rFonts w:ascii="Garamond" w:hAnsi="Garamond"/>
          <w:i/>
          <w:iCs/>
        </w:rPr>
        <w:t>, sans toutefois pouvoir remettre en cause celles qui ont précédemment été prescrites ni méconnaître l</w:t>
      </w:r>
      <w:r w:rsidR="00F86CA7">
        <w:rPr>
          <w:rFonts w:ascii="Garamond" w:hAnsi="Garamond"/>
          <w:i/>
          <w:iCs/>
        </w:rPr>
        <w:t>’</w:t>
      </w:r>
      <w:r w:rsidRPr="00A12A80">
        <w:rPr>
          <w:rFonts w:ascii="Garamond" w:hAnsi="Garamond"/>
          <w:i/>
          <w:iCs/>
        </w:rPr>
        <w:t>autorité qui s</w:t>
      </w:r>
      <w:r w:rsidR="00F86CA7">
        <w:rPr>
          <w:rFonts w:ascii="Garamond" w:hAnsi="Garamond"/>
          <w:i/>
          <w:iCs/>
        </w:rPr>
        <w:t>’</w:t>
      </w:r>
      <w:r w:rsidRPr="00A12A80">
        <w:rPr>
          <w:rFonts w:ascii="Garamond" w:hAnsi="Garamond"/>
          <w:i/>
          <w:iCs/>
        </w:rPr>
        <w:t>attache aux motifs qui sont le soutien nécessaire du dispositif de la décision juridictionnelle dont l</w:t>
      </w:r>
      <w:r w:rsidR="00F86CA7">
        <w:rPr>
          <w:rFonts w:ascii="Garamond" w:hAnsi="Garamond"/>
          <w:i/>
          <w:iCs/>
        </w:rPr>
        <w:t>’</w:t>
      </w:r>
      <w:r w:rsidRPr="00A12A80">
        <w:rPr>
          <w:rFonts w:ascii="Garamond" w:hAnsi="Garamond"/>
          <w:i/>
          <w:iCs/>
        </w:rPr>
        <w:t xml:space="preserve">exécution lui est demandée ; </w:t>
      </w:r>
      <w:r>
        <w:rPr>
          <w:rFonts w:ascii="Garamond" w:hAnsi="Garamond"/>
        </w:rPr>
        <w:t>[…]</w:t>
      </w:r>
    </w:p>
    <w:p w14:paraId="62354287" w14:textId="77777777" w:rsidR="00A12A80" w:rsidRPr="00A12A80" w:rsidRDefault="00A12A80" w:rsidP="00A12A80">
      <w:pPr>
        <w:spacing w:line="252" w:lineRule="auto"/>
        <w:ind w:left="567"/>
        <w:jc w:val="both"/>
        <w:rPr>
          <w:rFonts w:ascii="Garamond" w:hAnsi="Garamond"/>
        </w:rPr>
      </w:pPr>
    </w:p>
    <w:p w14:paraId="0260EC32" w14:textId="2236A197" w:rsidR="00A12A80" w:rsidRDefault="00A12A80" w:rsidP="00A12A80">
      <w:pPr>
        <w:spacing w:line="252" w:lineRule="auto"/>
        <w:ind w:left="567"/>
        <w:jc w:val="both"/>
        <w:rPr>
          <w:rFonts w:ascii="Garamond" w:hAnsi="Garamond"/>
        </w:rPr>
      </w:pPr>
      <w:r w:rsidRPr="00A12A80">
        <w:rPr>
          <w:rFonts w:ascii="Garamond" w:hAnsi="Garamond"/>
          <w:i/>
          <w:iCs/>
        </w:rPr>
        <w:t>3. Considérant, d</w:t>
      </w:r>
      <w:r w:rsidR="00F86CA7">
        <w:rPr>
          <w:rFonts w:ascii="Garamond" w:hAnsi="Garamond"/>
          <w:i/>
          <w:iCs/>
        </w:rPr>
        <w:t>’</w:t>
      </w:r>
      <w:r w:rsidRPr="00A12A80">
        <w:rPr>
          <w:rFonts w:ascii="Garamond" w:hAnsi="Garamond"/>
          <w:i/>
          <w:iCs/>
        </w:rPr>
        <w:t>autre part, qu</w:t>
      </w:r>
      <w:r w:rsidR="00F86CA7">
        <w:rPr>
          <w:rFonts w:ascii="Garamond" w:hAnsi="Garamond"/>
          <w:i/>
          <w:iCs/>
        </w:rPr>
        <w:t>’</w:t>
      </w:r>
      <w:r w:rsidRPr="00A12A80">
        <w:rPr>
          <w:rFonts w:ascii="Garamond" w:hAnsi="Garamond"/>
          <w:i/>
          <w:iCs/>
        </w:rPr>
        <w:t>il appartient au juge saisi sur le fondement de l</w:t>
      </w:r>
      <w:r w:rsidR="00F86CA7">
        <w:rPr>
          <w:rFonts w:ascii="Garamond" w:hAnsi="Garamond"/>
          <w:i/>
          <w:iCs/>
        </w:rPr>
        <w:t>’</w:t>
      </w:r>
      <w:r w:rsidRPr="00A12A80">
        <w:rPr>
          <w:rFonts w:ascii="Garamond" w:hAnsi="Garamond"/>
          <w:i/>
          <w:iCs/>
        </w:rPr>
        <w:t>article L. 911-4 d</w:t>
      </w:r>
      <w:r w:rsidR="00F86CA7">
        <w:rPr>
          <w:rFonts w:ascii="Garamond" w:hAnsi="Garamond"/>
          <w:i/>
          <w:iCs/>
        </w:rPr>
        <w:t>’</w:t>
      </w:r>
      <w:r w:rsidRPr="00A12A80">
        <w:rPr>
          <w:rFonts w:ascii="Garamond" w:hAnsi="Garamond"/>
          <w:i/>
          <w:iCs/>
          <w:u w:val="single"/>
        </w:rPr>
        <w:t>apprécier l</w:t>
      </w:r>
      <w:r w:rsidR="00F86CA7">
        <w:rPr>
          <w:rFonts w:ascii="Garamond" w:hAnsi="Garamond"/>
          <w:i/>
          <w:iCs/>
          <w:u w:val="single"/>
        </w:rPr>
        <w:t>’</w:t>
      </w:r>
      <w:r w:rsidRPr="00A12A80">
        <w:rPr>
          <w:rFonts w:ascii="Garamond" w:hAnsi="Garamond"/>
          <w:i/>
          <w:iCs/>
          <w:u w:val="single"/>
        </w:rPr>
        <w:t>opportunité de compléter les mesures</w:t>
      </w:r>
      <w:r w:rsidRPr="00A12A80">
        <w:rPr>
          <w:rFonts w:ascii="Garamond" w:hAnsi="Garamond"/>
          <w:i/>
          <w:iCs/>
        </w:rPr>
        <w:t xml:space="preserve"> déjà prescrites ou qu</w:t>
      </w:r>
      <w:r w:rsidR="00F86CA7">
        <w:rPr>
          <w:rFonts w:ascii="Garamond" w:hAnsi="Garamond"/>
          <w:i/>
          <w:iCs/>
        </w:rPr>
        <w:t>’</w:t>
      </w:r>
      <w:r w:rsidRPr="00A12A80">
        <w:rPr>
          <w:rFonts w:ascii="Garamond" w:hAnsi="Garamond"/>
          <w:i/>
          <w:iCs/>
        </w:rPr>
        <w:t xml:space="preserve">il prescrit lui-même par la </w:t>
      </w:r>
      <w:r w:rsidRPr="00A12A80">
        <w:rPr>
          <w:rFonts w:ascii="Garamond" w:hAnsi="Garamond"/>
          <w:i/>
          <w:iCs/>
          <w:u w:val="single"/>
        </w:rPr>
        <w:t>fixation d</w:t>
      </w:r>
      <w:r w:rsidR="00F86CA7">
        <w:rPr>
          <w:rFonts w:ascii="Garamond" w:hAnsi="Garamond"/>
          <w:i/>
          <w:iCs/>
          <w:u w:val="single"/>
        </w:rPr>
        <w:t>’</w:t>
      </w:r>
      <w:r w:rsidRPr="00A12A80">
        <w:rPr>
          <w:rFonts w:ascii="Garamond" w:hAnsi="Garamond"/>
          <w:i/>
          <w:iCs/>
          <w:u w:val="single"/>
        </w:rPr>
        <w:t>un délai d</w:t>
      </w:r>
      <w:r w:rsidR="00F86CA7">
        <w:rPr>
          <w:rFonts w:ascii="Garamond" w:hAnsi="Garamond"/>
          <w:i/>
          <w:iCs/>
          <w:u w:val="single"/>
        </w:rPr>
        <w:t>’</w:t>
      </w:r>
      <w:r w:rsidRPr="00A12A80">
        <w:rPr>
          <w:rFonts w:ascii="Garamond" w:hAnsi="Garamond"/>
          <w:i/>
          <w:iCs/>
          <w:u w:val="single"/>
        </w:rPr>
        <w:t>exécution</w:t>
      </w:r>
      <w:r w:rsidRPr="00A12A80">
        <w:rPr>
          <w:rFonts w:ascii="Garamond" w:hAnsi="Garamond"/>
          <w:i/>
          <w:iCs/>
        </w:rPr>
        <w:t xml:space="preserve"> et le </w:t>
      </w:r>
      <w:r w:rsidRPr="00A12A80">
        <w:rPr>
          <w:rFonts w:ascii="Garamond" w:hAnsi="Garamond"/>
          <w:i/>
          <w:iCs/>
          <w:u w:val="single"/>
        </w:rPr>
        <w:t>prononcé d</w:t>
      </w:r>
      <w:r w:rsidR="00F86CA7">
        <w:rPr>
          <w:rFonts w:ascii="Garamond" w:hAnsi="Garamond"/>
          <w:i/>
          <w:iCs/>
          <w:u w:val="single"/>
        </w:rPr>
        <w:t>’</w:t>
      </w:r>
      <w:r w:rsidRPr="00A12A80">
        <w:rPr>
          <w:rFonts w:ascii="Garamond" w:hAnsi="Garamond"/>
          <w:i/>
          <w:iCs/>
          <w:u w:val="single"/>
        </w:rPr>
        <w:t>une astreinte</w:t>
      </w:r>
      <w:r w:rsidRPr="00A12A80">
        <w:rPr>
          <w:rFonts w:ascii="Garamond" w:hAnsi="Garamond"/>
          <w:i/>
          <w:iCs/>
        </w:rPr>
        <w:t xml:space="preserve"> suivi, le cas échéant, de la liquidation de celle-ci, en tenant compte tant des circonstances de droit et de fait existant à la date de sa décision que des diligences déjà accomplies par les parties tenues de procéder à l</w:t>
      </w:r>
      <w:r w:rsidR="00F86CA7">
        <w:rPr>
          <w:rFonts w:ascii="Garamond" w:hAnsi="Garamond"/>
          <w:i/>
          <w:iCs/>
        </w:rPr>
        <w:t>’</w:t>
      </w:r>
      <w:r w:rsidRPr="00A12A80">
        <w:rPr>
          <w:rFonts w:ascii="Garamond" w:hAnsi="Garamond"/>
          <w:i/>
          <w:iCs/>
        </w:rPr>
        <w:t>exécution de la chose jugée ainsi que de celles qui sont encore susceptibles de l</w:t>
      </w:r>
      <w:r w:rsidR="00F86CA7">
        <w:rPr>
          <w:rFonts w:ascii="Garamond" w:hAnsi="Garamond"/>
          <w:i/>
          <w:iCs/>
        </w:rPr>
        <w:t>’</w:t>
      </w:r>
      <w:r w:rsidRPr="00A12A80">
        <w:rPr>
          <w:rFonts w:ascii="Garamond" w:hAnsi="Garamond"/>
          <w:i/>
          <w:iCs/>
        </w:rPr>
        <w:t>être</w:t>
      </w:r>
      <w:r>
        <w:rPr>
          <w:rFonts w:ascii="Garamond" w:hAnsi="Garamond"/>
        </w:rPr>
        <w:t xml:space="preserve"> » (CE, 23 mars 2015, </w:t>
      </w:r>
      <w:r w:rsidRPr="007E277F">
        <w:rPr>
          <w:rFonts w:ascii="Garamond" w:hAnsi="Garamond"/>
          <w:i/>
          <w:iCs/>
        </w:rPr>
        <w:t>Mme Veysset</w:t>
      </w:r>
      <w:r>
        <w:rPr>
          <w:rFonts w:ascii="Garamond" w:hAnsi="Garamond"/>
        </w:rPr>
        <w:t>, req. n° </w:t>
      </w:r>
      <w:r w:rsidRPr="00725309">
        <w:rPr>
          <w:rFonts w:ascii="Garamond" w:hAnsi="Garamond"/>
        </w:rPr>
        <w:t>366813</w:t>
      </w:r>
      <w:r>
        <w:rPr>
          <w:rFonts w:ascii="Garamond" w:hAnsi="Garamond"/>
        </w:rPr>
        <w:t xml:space="preserve">, Rec. p. 111, soulignement ajouté ; voir également : </w:t>
      </w:r>
      <w:r w:rsidR="00762634">
        <w:rPr>
          <w:rFonts w:ascii="Garamond" w:hAnsi="Garamond"/>
        </w:rPr>
        <w:t xml:space="preserve">CE, 29 juin 2011, </w:t>
      </w:r>
      <w:r w:rsidR="00762634" w:rsidRPr="00762634">
        <w:rPr>
          <w:rFonts w:ascii="Garamond" w:hAnsi="Garamond"/>
          <w:i/>
          <w:iCs/>
        </w:rPr>
        <w:t>SCI La Lauzière</w:t>
      </w:r>
      <w:r w:rsidR="00762634">
        <w:rPr>
          <w:rFonts w:ascii="Garamond" w:hAnsi="Garamond"/>
        </w:rPr>
        <w:t xml:space="preserve">, req. n° 327080, Rec. p. 308 ; </w:t>
      </w:r>
      <w:r w:rsidR="00A87FD2">
        <w:rPr>
          <w:rFonts w:ascii="Garamond" w:hAnsi="Garamond"/>
        </w:rPr>
        <w:t xml:space="preserve">CE, 5 juillet 2021, </w:t>
      </w:r>
      <w:r w:rsidR="00A87FD2" w:rsidRPr="00A87FD2">
        <w:rPr>
          <w:rFonts w:ascii="Garamond" w:hAnsi="Garamond"/>
          <w:i/>
          <w:iCs/>
        </w:rPr>
        <w:t>SCI Le Chanais</w:t>
      </w:r>
      <w:r w:rsidR="00A87FD2">
        <w:rPr>
          <w:rFonts w:ascii="Garamond" w:hAnsi="Garamond"/>
        </w:rPr>
        <w:t>, req. n° </w:t>
      </w:r>
      <w:r w:rsidR="00A87FD2" w:rsidRPr="00A87FD2">
        <w:rPr>
          <w:rFonts w:ascii="Garamond" w:hAnsi="Garamond"/>
        </w:rPr>
        <w:t>431524</w:t>
      </w:r>
      <w:r w:rsidR="00A87FD2">
        <w:rPr>
          <w:rFonts w:ascii="Garamond" w:hAnsi="Garamond"/>
        </w:rPr>
        <w:t xml:space="preserve">). </w:t>
      </w:r>
    </w:p>
    <w:p w14:paraId="6FED1EC2" w14:textId="77777777" w:rsidR="00796E7D" w:rsidRPr="00F52A38" w:rsidRDefault="00796E7D" w:rsidP="00796E7D">
      <w:pPr>
        <w:spacing w:line="252" w:lineRule="auto"/>
        <w:jc w:val="both"/>
        <w:rPr>
          <w:rFonts w:ascii="Garamond" w:hAnsi="Garamond"/>
        </w:rPr>
      </w:pPr>
    </w:p>
    <w:p w14:paraId="76C1D981" w14:textId="77777777" w:rsidR="00796E7D" w:rsidRPr="00F52A38" w:rsidRDefault="00796E7D" w:rsidP="00796E7D">
      <w:pPr>
        <w:numPr>
          <w:ilvl w:val="0"/>
          <w:numId w:val="1"/>
        </w:numPr>
        <w:spacing w:line="252" w:lineRule="auto"/>
        <w:ind w:left="0" w:firstLine="0"/>
        <w:jc w:val="both"/>
        <w:rPr>
          <w:rFonts w:ascii="Garamond" w:hAnsi="Garamond"/>
        </w:rPr>
      </w:pPr>
    </w:p>
    <w:p w14:paraId="19B92318" w14:textId="77777777" w:rsidR="00A12A80" w:rsidRDefault="00A12A80" w:rsidP="00A12A80">
      <w:pPr>
        <w:spacing w:line="252" w:lineRule="auto"/>
        <w:jc w:val="both"/>
        <w:rPr>
          <w:rFonts w:ascii="Garamond" w:hAnsi="Garamond"/>
        </w:rPr>
      </w:pPr>
    </w:p>
    <w:p w14:paraId="2BA7797E" w14:textId="5A3F05CF" w:rsidR="006B1EB8" w:rsidRDefault="00A87FD2" w:rsidP="00936C54">
      <w:pPr>
        <w:spacing w:line="252" w:lineRule="auto"/>
        <w:jc w:val="both"/>
        <w:rPr>
          <w:rFonts w:ascii="Garamond" w:hAnsi="Garamond"/>
        </w:rPr>
      </w:pPr>
      <w:r>
        <w:rPr>
          <w:rFonts w:ascii="Garamond" w:hAnsi="Garamond"/>
        </w:rPr>
        <w:t>Ceci posé</w:t>
      </w:r>
      <w:r w:rsidR="00C9699E">
        <w:rPr>
          <w:rFonts w:ascii="Garamond" w:hAnsi="Garamond"/>
        </w:rPr>
        <w:t>, u</w:t>
      </w:r>
      <w:r w:rsidR="006B1EB8">
        <w:rPr>
          <w:rFonts w:ascii="Garamond" w:hAnsi="Garamond"/>
        </w:rPr>
        <w:t>ne demande d</w:t>
      </w:r>
      <w:r w:rsidR="00F86CA7">
        <w:rPr>
          <w:rFonts w:ascii="Garamond" w:hAnsi="Garamond"/>
        </w:rPr>
        <w:t>’</w:t>
      </w:r>
      <w:r w:rsidR="006B1EB8">
        <w:rPr>
          <w:rFonts w:ascii="Garamond" w:hAnsi="Garamond"/>
        </w:rPr>
        <w:t xml:space="preserve">exécution peut être </w:t>
      </w:r>
      <w:r w:rsidR="00C9699E">
        <w:rPr>
          <w:rFonts w:ascii="Garamond" w:hAnsi="Garamond"/>
        </w:rPr>
        <w:t>présent</w:t>
      </w:r>
      <w:r w:rsidR="006B1EB8">
        <w:rPr>
          <w:rFonts w:ascii="Garamond" w:hAnsi="Garamond"/>
        </w:rPr>
        <w:t>ée par toute partie à l</w:t>
      </w:r>
      <w:r w:rsidR="00F86CA7">
        <w:rPr>
          <w:rFonts w:ascii="Garamond" w:hAnsi="Garamond"/>
        </w:rPr>
        <w:t>’</w:t>
      </w:r>
      <w:r w:rsidR="006B1EB8">
        <w:rPr>
          <w:rFonts w:ascii="Garamond" w:hAnsi="Garamond"/>
        </w:rPr>
        <w:t>instance initiale</w:t>
      </w:r>
      <w:r w:rsidR="00C9699E">
        <w:rPr>
          <w:rFonts w:ascii="Garamond" w:hAnsi="Garamond"/>
        </w:rPr>
        <w:t xml:space="preserve">, </w:t>
      </w:r>
      <w:r w:rsidR="00796E7D">
        <w:rPr>
          <w:rFonts w:ascii="Garamond" w:hAnsi="Garamond"/>
        </w:rPr>
        <w:t xml:space="preserve">tant en </w:t>
      </w:r>
      <w:r w:rsidR="00796E7D" w:rsidRPr="00796E7D">
        <w:rPr>
          <w:rFonts w:ascii="Garamond" w:hAnsi="Garamond"/>
        </w:rPr>
        <w:t>raison d</w:t>
      </w:r>
      <w:r w:rsidR="00F86CA7">
        <w:rPr>
          <w:rFonts w:ascii="Garamond" w:hAnsi="Garamond"/>
        </w:rPr>
        <w:t>’</w:t>
      </w:r>
      <w:r w:rsidR="00796E7D" w:rsidRPr="00796E7D">
        <w:rPr>
          <w:rFonts w:ascii="Garamond" w:hAnsi="Garamond"/>
        </w:rPr>
        <w:t xml:space="preserve">une inexécution totale </w:t>
      </w:r>
      <w:r w:rsidR="00796E7D">
        <w:rPr>
          <w:rFonts w:ascii="Garamond" w:hAnsi="Garamond"/>
        </w:rPr>
        <w:t>que</w:t>
      </w:r>
      <w:r w:rsidR="00796E7D" w:rsidRPr="00796E7D">
        <w:rPr>
          <w:rFonts w:ascii="Garamond" w:hAnsi="Garamond"/>
        </w:rPr>
        <w:t xml:space="preserve"> d</w:t>
      </w:r>
      <w:r w:rsidR="00F86CA7">
        <w:rPr>
          <w:rFonts w:ascii="Garamond" w:hAnsi="Garamond"/>
        </w:rPr>
        <w:t>’</w:t>
      </w:r>
      <w:r w:rsidR="00796E7D" w:rsidRPr="00796E7D">
        <w:rPr>
          <w:rFonts w:ascii="Garamond" w:hAnsi="Garamond"/>
        </w:rPr>
        <w:t>une inexécution partielle</w:t>
      </w:r>
      <w:r w:rsidR="00796E7D">
        <w:rPr>
          <w:rFonts w:ascii="Garamond" w:hAnsi="Garamond"/>
        </w:rPr>
        <w:t xml:space="preserve"> de la décision considérée</w:t>
      </w:r>
      <w:r w:rsidR="00796E7D" w:rsidRPr="00796E7D">
        <w:rPr>
          <w:rFonts w:ascii="Garamond" w:hAnsi="Garamond"/>
        </w:rPr>
        <w:t xml:space="preserve"> (</w:t>
      </w:r>
      <w:r w:rsidR="00796E7D">
        <w:rPr>
          <w:rFonts w:ascii="Garamond" w:hAnsi="Garamond"/>
        </w:rPr>
        <w:t>en ce sens : C</w:t>
      </w:r>
      <w:r w:rsidR="00796E7D" w:rsidRPr="00796E7D">
        <w:rPr>
          <w:rFonts w:ascii="Garamond" w:hAnsi="Garamond"/>
        </w:rPr>
        <w:t xml:space="preserve">E, </w:t>
      </w:r>
      <w:r w:rsidR="00796E7D">
        <w:rPr>
          <w:rFonts w:ascii="Garamond" w:hAnsi="Garamond"/>
        </w:rPr>
        <w:t>S</w:t>
      </w:r>
      <w:r w:rsidR="00796E7D" w:rsidRPr="00796E7D">
        <w:rPr>
          <w:rFonts w:ascii="Garamond" w:hAnsi="Garamond"/>
        </w:rPr>
        <w:t>ect., 15 oct</w:t>
      </w:r>
      <w:r w:rsidR="00796E7D">
        <w:rPr>
          <w:rFonts w:ascii="Garamond" w:hAnsi="Garamond"/>
        </w:rPr>
        <w:t>obre</w:t>
      </w:r>
      <w:r w:rsidR="00796E7D" w:rsidRPr="00796E7D">
        <w:rPr>
          <w:rFonts w:ascii="Garamond" w:hAnsi="Garamond"/>
        </w:rPr>
        <w:t xml:space="preserve"> 1986, </w:t>
      </w:r>
      <w:r w:rsidR="00796E7D" w:rsidRPr="00796E7D">
        <w:rPr>
          <w:rFonts w:ascii="Garamond" w:hAnsi="Garamond"/>
          <w:i/>
          <w:iCs/>
        </w:rPr>
        <w:t>Mme Leroux</w:t>
      </w:r>
      <w:r w:rsidR="00796E7D">
        <w:rPr>
          <w:rFonts w:ascii="Garamond" w:hAnsi="Garamond"/>
        </w:rPr>
        <w:t>, Rec. p. </w:t>
      </w:r>
      <w:r w:rsidR="00796E7D" w:rsidRPr="00796E7D">
        <w:rPr>
          <w:rFonts w:ascii="Garamond" w:hAnsi="Garamond"/>
        </w:rPr>
        <w:t>231)</w:t>
      </w:r>
      <w:r w:rsidR="00762634">
        <w:rPr>
          <w:rFonts w:ascii="Garamond" w:hAnsi="Garamond"/>
        </w:rPr>
        <w:t>.</w:t>
      </w:r>
    </w:p>
    <w:p w14:paraId="505EE7BE" w14:textId="77777777" w:rsidR="007E277F" w:rsidRDefault="007E277F" w:rsidP="00936C54">
      <w:pPr>
        <w:spacing w:line="252" w:lineRule="auto"/>
        <w:jc w:val="both"/>
        <w:rPr>
          <w:rFonts w:ascii="Garamond" w:hAnsi="Garamond"/>
        </w:rPr>
      </w:pPr>
    </w:p>
    <w:p w14:paraId="592DEC7F" w14:textId="42A22589" w:rsidR="007E277F" w:rsidRDefault="007E277F" w:rsidP="007E277F">
      <w:pPr>
        <w:spacing w:line="252" w:lineRule="auto"/>
        <w:jc w:val="both"/>
        <w:rPr>
          <w:rFonts w:ascii="Garamond" w:hAnsi="Garamond"/>
        </w:rPr>
      </w:pPr>
      <w:r>
        <w:rPr>
          <w:rFonts w:ascii="Garamond" w:hAnsi="Garamond"/>
        </w:rPr>
        <w:t xml:space="preserve">Devant les tribunaux administratifs, </w:t>
      </w:r>
      <w:r w:rsidR="00EF781D">
        <w:rPr>
          <w:rFonts w:ascii="Garamond" w:hAnsi="Garamond"/>
        </w:rPr>
        <w:t>elle</w:t>
      </w:r>
      <w:r>
        <w:rPr>
          <w:rFonts w:ascii="Garamond" w:hAnsi="Garamond"/>
        </w:rPr>
        <w:t xml:space="preserve"> conduit à l</w:t>
      </w:r>
      <w:r w:rsidR="00F86CA7">
        <w:rPr>
          <w:rFonts w:ascii="Garamond" w:hAnsi="Garamond"/>
        </w:rPr>
        <w:t>’</w:t>
      </w:r>
      <w:r>
        <w:rPr>
          <w:rFonts w:ascii="Garamond" w:hAnsi="Garamond"/>
        </w:rPr>
        <w:t>ouverture d</w:t>
      </w:r>
      <w:r w:rsidR="00F86CA7">
        <w:rPr>
          <w:rFonts w:ascii="Garamond" w:hAnsi="Garamond"/>
        </w:rPr>
        <w:t>’</w:t>
      </w:r>
      <w:r>
        <w:rPr>
          <w:rFonts w:ascii="Garamond" w:hAnsi="Garamond"/>
        </w:rPr>
        <w:t>une phase administrative, au cours de laquelle le président du Tribunal, ou le rapporteur désigné à cet effet, peut procéder à toutes diligences utiles pour assurer l</w:t>
      </w:r>
      <w:r w:rsidR="00F86CA7">
        <w:rPr>
          <w:rFonts w:ascii="Garamond" w:hAnsi="Garamond"/>
        </w:rPr>
        <w:t>’</w:t>
      </w:r>
      <w:r>
        <w:rPr>
          <w:rFonts w:ascii="Garamond" w:hAnsi="Garamond"/>
        </w:rPr>
        <w:t xml:space="preserve">exécution du jugement considéré. </w:t>
      </w:r>
    </w:p>
    <w:p w14:paraId="51D6AEC2" w14:textId="77777777" w:rsidR="007E277F" w:rsidRDefault="007E277F" w:rsidP="007E277F">
      <w:pPr>
        <w:spacing w:line="252" w:lineRule="auto"/>
        <w:jc w:val="both"/>
        <w:rPr>
          <w:rFonts w:ascii="Garamond" w:hAnsi="Garamond"/>
        </w:rPr>
      </w:pPr>
    </w:p>
    <w:p w14:paraId="33FB3486" w14:textId="24617D0C" w:rsidR="007E277F" w:rsidRDefault="007E277F" w:rsidP="007E277F">
      <w:pPr>
        <w:spacing w:line="252" w:lineRule="auto"/>
        <w:jc w:val="both"/>
        <w:rPr>
          <w:rFonts w:ascii="Garamond" w:hAnsi="Garamond"/>
        </w:rPr>
      </w:pPr>
      <w:r>
        <w:rPr>
          <w:rFonts w:ascii="Garamond" w:hAnsi="Garamond"/>
        </w:rPr>
        <w:t>En</w:t>
      </w:r>
      <w:r w:rsidR="00EF781D">
        <w:rPr>
          <w:rFonts w:ascii="Garamond" w:hAnsi="Garamond"/>
        </w:rPr>
        <w:t>fin</w:t>
      </w:r>
      <w:r>
        <w:rPr>
          <w:rFonts w:ascii="Garamond" w:hAnsi="Garamond"/>
        </w:rPr>
        <w:t>, lorsque le président, ou le rapporteur, estime nécessaire de prescrire de nouvelles mesures d</w:t>
      </w:r>
      <w:r w:rsidR="00F86CA7">
        <w:rPr>
          <w:rFonts w:ascii="Garamond" w:hAnsi="Garamond"/>
        </w:rPr>
        <w:t>’</w:t>
      </w:r>
      <w:r>
        <w:rPr>
          <w:rFonts w:ascii="Garamond" w:hAnsi="Garamond"/>
        </w:rPr>
        <w:t>exécution – et, notamment, de prononcer une astreinte –, il procède, par ordonnance, à l</w:t>
      </w:r>
      <w:r w:rsidR="00F86CA7">
        <w:rPr>
          <w:rFonts w:ascii="Garamond" w:hAnsi="Garamond"/>
        </w:rPr>
        <w:t>’</w:t>
      </w:r>
      <w:r>
        <w:rPr>
          <w:rFonts w:ascii="Garamond" w:hAnsi="Garamond"/>
        </w:rPr>
        <w:t>ouverture d</w:t>
      </w:r>
      <w:r w:rsidR="00F86CA7">
        <w:rPr>
          <w:rFonts w:ascii="Garamond" w:hAnsi="Garamond"/>
        </w:rPr>
        <w:t>’</w:t>
      </w:r>
      <w:r>
        <w:rPr>
          <w:rFonts w:ascii="Garamond" w:hAnsi="Garamond"/>
        </w:rPr>
        <w:t xml:space="preserve">une phase juridictionnelle. </w:t>
      </w:r>
    </w:p>
    <w:p w14:paraId="69CAA3C3" w14:textId="56F25AC6" w:rsidR="00652934" w:rsidRDefault="00652934" w:rsidP="001C3EA9">
      <w:pPr>
        <w:rPr>
          <w:rFonts w:ascii="Garamond" w:hAnsi="Garamond"/>
        </w:rPr>
      </w:pPr>
    </w:p>
    <w:p w14:paraId="2012725F" w14:textId="65CE2C81" w:rsidR="00652934" w:rsidRDefault="00652934" w:rsidP="001C3EA9">
      <w:pPr>
        <w:rPr>
          <w:rFonts w:ascii="Garamond" w:hAnsi="Garamond"/>
        </w:rPr>
      </w:pPr>
      <w:r>
        <w:rPr>
          <w:rFonts w:ascii="Garamond" w:hAnsi="Garamond"/>
        </w:rPr>
        <w:t xml:space="preserve">Cette procédure a parfaitement vocation à </w:t>
      </w:r>
      <w:r w:rsidR="00A87FD2">
        <w:rPr>
          <w:rFonts w:ascii="Garamond" w:hAnsi="Garamond"/>
        </w:rPr>
        <w:t>s</w:t>
      </w:r>
      <w:r w:rsidR="00F86CA7">
        <w:rPr>
          <w:rFonts w:ascii="Garamond" w:hAnsi="Garamond"/>
        </w:rPr>
        <w:t>’</w:t>
      </w:r>
      <w:r w:rsidR="00A87FD2">
        <w:rPr>
          <w:rFonts w:ascii="Garamond" w:hAnsi="Garamond"/>
        </w:rPr>
        <w:t>appliquer</w:t>
      </w:r>
      <w:r>
        <w:rPr>
          <w:rFonts w:ascii="Garamond" w:hAnsi="Garamond"/>
        </w:rPr>
        <w:t xml:space="preserve"> dans la présente </w:t>
      </w:r>
      <w:r w:rsidR="00A87FD2">
        <w:rPr>
          <w:rFonts w:ascii="Garamond" w:hAnsi="Garamond"/>
        </w:rPr>
        <w:t>affaire</w:t>
      </w:r>
      <w:r>
        <w:rPr>
          <w:rFonts w:ascii="Garamond" w:hAnsi="Garamond"/>
        </w:rPr>
        <w:t xml:space="preserve">. </w:t>
      </w:r>
    </w:p>
    <w:p w14:paraId="5DAD1743" w14:textId="0050AF34" w:rsidR="00EF781D" w:rsidRDefault="00EF781D">
      <w:pPr>
        <w:rPr>
          <w:rFonts w:ascii="Garamond" w:hAnsi="Garamond"/>
        </w:rPr>
      </w:pPr>
      <w:r>
        <w:rPr>
          <w:rFonts w:ascii="Garamond" w:hAnsi="Garamond"/>
        </w:rPr>
        <w:br w:type="page"/>
      </w:r>
    </w:p>
    <w:p w14:paraId="6899F8FE" w14:textId="37D7D83E" w:rsidR="001C3EA9" w:rsidRPr="00F52A38" w:rsidRDefault="001C3EA9" w:rsidP="001C3EA9">
      <w:pPr>
        <w:pStyle w:val="Titre2"/>
        <w:numPr>
          <w:ilvl w:val="0"/>
          <w:numId w:val="35"/>
        </w:numPr>
        <w:spacing w:line="252" w:lineRule="auto"/>
        <w:ind w:left="567" w:right="0" w:hanging="567"/>
        <w:jc w:val="both"/>
        <w:rPr>
          <w:rFonts w:ascii="Garamond" w:hAnsi="Garamond"/>
          <w:smallCaps/>
          <w:color w:val="000000" w:themeColor="text1"/>
          <w:sz w:val="24"/>
          <w:szCs w:val="24"/>
          <w:u w:val="single"/>
        </w:rPr>
      </w:pPr>
      <w:r>
        <w:rPr>
          <w:rFonts w:ascii="Garamond" w:hAnsi="Garamond"/>
          <w:smallCaps/>
          <w:color w:val="000000" w:themeColor="text1"/>
          <w:sz w:val="24"/>
          <w:szCs w:val="24"/>
          <w:u w:val="single"/>
        </w:rPr>
        <w:lastRenderedPageBreak/>
        <w:t>SUR L</w:t>
      </w:r>
      <w:r w:rsidR="00F86CA7">
        <w:rPr>
          <w:rFonts w:ascii="Garamond" w:hAnsi="Garamond"/>
          <w:smallCaps/>
          <w:color w:val="000000" w:themeColor="text1"/>
          <w:sz w:val="24"/>
          <w:szCs w:val="24"/>
          <w:u w:val="single"/>
        </w:rPr>
        <w:t>’</w:t>
      </w:r>
      <w:r w:rsidR="00EF781D">
        <w:rPr>
          <w:rFonts w:ascii="Garamond" w:hAnsi="Garamond"/>
          <w:smallCaps/>
          <w:color w:val="000000" w:themeColor="text1"/>
          <w:sz w:val="24"/>
          <w:szCs w:val="24"/>
          <w:u w:val="single"/>
        </w:rPr>
        <w:t>INEXÉCUTION DU JUGEMENT DU 14 OCTOBRE 2021</w:t>
      </w:r>
    </w:p>
    <w:p w14:paraId="75F21657" w14:textId="77777777" w:rsidR="001C3EA9" w:rsidRDefault="001C3EA9" w:rsidP="001C3EA9">
      <w:pPr>
        <w:spacing w:line="252" w:lineRule="auto"/>
        <w:jc w:val="both"/>
        <w:rPr>
          <w:rFonts w:ascii="Garamond" w:hAnsi="Garamond"/>
        </w:rPr>
      </w:pPr>
    </w:p>
    <w:p w14:paraId="6350014A" w14:textId="77777777" w:rsidR="001C3EA9" w:rsidRPr="00F52A38" w:rsidRDefault="001C3EA9" w:rsidP="001C3EA9">
      <w:pPr>
        <w:numPr>
          <w:ilvl w:val="0"/>
          <w:numId w:val="1"/>
        </w:numPr>
        <w:spacing w:line="252" w:lineRule="auto"/>
        <w:ind w:left="0" w:firstLine="0"/>
        <w:jc w:val="both"/>
        <w:rPr>
          <w:rFonts w:ascii="Garamond" w:hAnsi="Garamond"/>
          <w:color w:val="000000" w:themeColor="text1"/>
        </w:rPr>
      </w:pPr>
    </w:p>
    <w:p w14:paraId="0F4E4D20" w14:textId="77777777" w:rsidR="001C3EA9" w:rsidRDefault="001C3EA9" w:rsidP="001C3EA9">
      <w:pPr>
        <w:tabs>
          <w:tab w:val="left" w:pos="6440"/>
        </w:tabs>
        <w:spacing w:line="252" w:lineRule="auto"/>
        <w:jc w:val="both"/>
        <w:rPr>
          <w:rFonts w:ascii="Garamond" w:hAnsi="Garamond"/>
          <w:color w:val="000000" w:themeColor="text1"/>
        </w:rPr>
      </w:pPr>
    </w:p>
    <w:p w14:paraId="669931F3" w14:textId="2FEF4AFF" w:rsidR="001D20B6" w:rsidRDefault="001D20B6" w:rsidP="001D20B6">
      <w:pPr>
        <w:tabs>
          <w:tab w:val="left" w:pos="6440"/>
        </w:tabs>
        <w:spacing w:line="252" w:lineRule="auto"/>
        <w:jc w:val="both"/>
        <w:rPr>
          <w:rFonts w:ascii="Garamond" w:hAnsi="Garamond"/>
          <w:color w:val="000000" w:themeColor="text1"/>
        </w:rPr>
      </w:pPr>
      <w:r>
        <w:rPr>
          <w:rFonts w:ascii="Garamond" w:hAnsi="Garamond"/>
          <w:color w:val="000000" w:themeColor="text1"/>
        </w:rPr>
        <w:t>Aux termes de son jugement du 14 octobre 2021, le Tribunal administratif de Paris a « </w:t>
      </w:r>
      <w:r w:rsidRPr="001D20B6">
        <w:rPr>
          <w:rFonts w:ascii="Garamond" w:hAnsi="Garamond"/>
          <w:i/>
          <w:iCs/>
          <w:color w:val="000000" w:themeColor="text1"/>
        </w:rPr>
        <w:t>enjoint au Premier ministre et aux ministres compétents de prendre toutes les mesures utiles de nature à réparer le préjudice écologique et prévenir l</w:t>
      </w:r>
      <w:r w:rsidR="00F86CA7">
        <w:rPr>
          <w:rFonts w:ascii="Garamond" w:hAnsi="Garamond"/>
          <w:i/>
          <w:iCs/>
          <w:color w:val="000000" w:themeColor="text1"/>
        </w:rPr>
        <w:t>’</w:t>
      </w:r>
      <w:r w:rsidRPr="001D20B6">
        <w:rPr>
          <w:rFonts w:ascii="Garamond" w:hAnsi="Garamond"/>
          <w:i/>
          <w:iCs/>
          <w:color w:val="000000" w:themeColor="text1"/>
        </w:rPr>
        <w:t>aggravation des dommages à hauteur de la part non compensée d</w:t>
      </w:r>
      <w:r w:rsidR="00F86CA7">
        <w:rPr>
          <w:rFonts w:ascii="Garamond" w:hAnsi="Garamond"/>
          <w:i/>
          <w:iCs/>
          <w:color w:val="000000" w:themeColor="text1"/>
        </w:rPr>
        <w:t>’</w:t>
      </w:r>
      <w:r w:rsidRPr="001D20B6">
        <w:rPr>
          <w:rFonts w:ascii="Garamond" w:hAnsi="Garamond"/>
          <w:i/>
          <w:iCs/>
          <w:color w:val="000000" w:themeColor="text1"/>
        </w:rPr>
        <w:t>émissions de gaz à effet de serre au titre du premier budget carbone, soit 15 Mt CO2eq, et sous réserve d</w:t>
      </w:r>
      <w:r w:rsidR="00F86CA7">
        <w:rPr>
          <w:rFonts w:ascii="Garamond" w:hAnsi="Garamond"/>
          <w:i/>
          <w:iCs/>
          <w:color w:val="000000" w:themeColor="text1"/>
        </w:rPr>
        <w:t>’</w:t>
      </w:r>
      <w:r w:rsidRPr="001D20B6">
        <w:rPr>
          <w:rFonts w:ascii="Garamond" w:hAnsi="Garamond"/>
          <w:i/>
          <w:iCs/>
          <w:color w:val="000000" w:themeColor="text1"/>
        </w:rPr>
        <w:t>un ajustement au regard des données estimées du CITEPA au 31 janvier 2022</w:t>
      </w:r>
      <w:r>
        <w:rPr>
          <w:rFonts w:ascii="Garamond" w:hAnsi="Garamond"/>
          <w:color w:val="000000" w:themeColor="text1"/>
        </w:rPr>
        <w:t> », et jugé que « </w:t>
      </w:r>
      <w:r w:rsidRPr="001D20B6">
        <w:rPr>
          <w:rFonts w:ascii="Garamond" w:hAnsi="Garamond"/>
          <w:i/>
          <w:iCs/>
          <w:color w:val="000000" w:themeColor="text1"/>
        </w:rPr>
        <w:t>la réparation du préjudice devra</w:t>
      </w:r>
      <w:r>
        <w:rPr>
          <w:rFonts w:ascii="Garamond" w:hAnsi="Garamond"/>
          <w:color w:val="000000" w:themeColor="text1"/>
        </w:rPr>
        <w:t>[it]</w:t>
      </w:r>
      <w:r w:rsidRPr="001D20B6">
        <w:rPr>
          <w:rFonts w:ascii="Garamond" w:hAnsi="Garamond"/>
          <w:color w:val="000000" w:themeColor="text1"/>
        </w:rPr>
        <w:t xml:space="preserve"> </w:t>
      </w:r>
      <w:r w:rsidRPr="001D20B6">
        <w:rPr>
          <w:rFonts w:ascii="Garamond" w:hAnsi="Garamond"/>
          <w:i/>
          <w:iCs/>
          <w:color w:val="000000" w:themeColor="text1"/>
        </w:rPr>
        <w:t>être effective au 31 décembre 2022, au plus tard</w:t>
      </w:r>
      <w:r>
        <w:rPr>
          <w:rFonts w:ascii="Garamond" w:hAnsi="Garamond"/>
          <w:color w:val="000000" w:themeColor="text1"/>
        </w:rPr>
        <w:t xml:space="preserve"> » (article 2). </w:t>
      </w:r>
    </w:p>
    <w:p w14:paraId="7B1475DB" w14:textId="1E1E19F6" w:rsidR="001D20B6" w:rsidRDefault="001D20B6" w:rsidP="001C3EA9">
      <w:pPr>
        <w:tabs>
          <w:tab w:val="left" w:pos="6440"/>
        </w:tabs>
        <w:spacing w:line="252" w:lineRule="auto"/>
        <w:jc w:val="both"/>
        <w:rPr>
          <w:rFonts w:ascii="Garamond" w:hAnsi="Garamond"/>
          <w:color w:val="000000" w:themeColor="text1"/>
        </w:rPr>
      </w:pPr>
    </w:p>
    <w:p w14:paraId="4DD610BA" w14:textId="6234D6BD"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Pour ce faire, après avoir constaté que le préjudice écologique réparable résidait dans le surplus d</w:t>
      </w:r>
      <w:r w:rsidR="00F86CA7">
        <w:rPr>
          <w:rFonts w:ascii="Garamond" w:hAnsi="Garamond"/>
          <w:color w:val="000000" w:themeColor="text1"/>
        </w:rPr>
        <w:t>’</w:t>
      </w:r>
      <w:r>
        <w:rPr>
          <w:rFonts w:ascii="Garamond" w:hAnsi="Garamond"/>
          <w:color w:val="000000" w:themeColor="text1"/>
        </w:rPr>
        <w:t>émissions de gaz à effet de serre persistant dans l</w:t>
      </w:r>
      <w:r w:rsidR="00F86CA7">
        <w:rPr>
          <w:rFonts w:ascii="Garamond" w:hAnsi="Garamond"/>
          <w:color w:val="000000" w:themeColor="text1"/>
        </w:rPr>
        <w:t>’</w:t>
      </w:r>
      <w:r>
        <w:rPr>
          <w:rFonts w:ascii="Garamond" w:hAnsi="Garamond"/>
          <w:color w:val="000000" w:themeColor="text1"/>
        </w:rPr>
        <w:t>atmosphère au moment du jugement du fait du dépassement du premier budget carbone (considérant 7), le Tribunal a admis la nécessité de prononcer une injonction, destinée à « </w:t>
      </w:r>
      <w:r w:rsidRPr="001D20B6">
        <w:rPr>
          <w:rFonts w:ascii="Garamond" w:hAnsi="Garamond"/>
          <w:i/>
          <w:iCs/>
          <w:color w:val="000000" w:themeColor="text1"/>
        </w:rPr>
        <w:t>réparer le préjudice lié</w:t>
      </w:r>
      <w:r>
        <w:rPr>
          <w:rFonts w:ascii="Garamond" w:hAnsi="Garamond"/>
          <w:color w:val="000000" w:themeColor="text1"/>
        </w:rPr>
        <w:t xml:space="preserve"> [à ce] </w:t>
      </w:r>
      <w:r w:rsidRPr="001D20B6">
        <w:rPr>
          <w:rFonts w:ascii="Garamond" w:hAnsi="Garamond"/>
          <w:i/>
          <w:iCs/>
          <w:color w:val="000000" w:themeColor="text1"/>
        </w:rPr>
        <w:t>surplus d</w:t>
      </w:r>
      <w:r w:rsidR="00F86CA7">
        <w:rPr>
          <w:rFonts w:ascii="Garamond" w:hAnsi="Garamond"/>
          <w:i/>
          <w:iCs/>
          <w:color w:val="000000" w:themeColor="text1"/>
        </w:rPr>
        <w:t>’</w:t>
      </w:r>
      <w:r w:rsidRPr="001D20B6">
        <w:rPr>
          <w:rFonts w:ascii="Garamond" w:hAnsi="Garamond"/>
          <w:i/>
          <w:iCs/>
          <w:color w:val="000000" w:themeColor="text1"/>
        </w:rPr>
        <w:t xml:space="preserve">émissions </w:t>
      </w:r>
      <w:r>
        <w:rPr>
          <w:rFonts w:ascii="Garamond" w:hAnsi="Garamond"/>
          <w:color w:val="000000" w:themeColor="text1"/>
        </w:rPr>
        <w:t xml:space="preserve">[…] </w:t>
      </w:r>
      <w:r w:rsidRPr="001D20B6">
        <w:rPr>
          <w:rFonts w:ascii="Garamond" w:hAnsi="Garamond"/>
          <w:i/>
          <w:iCs/>
          <w:color w:val="000000" w:themeColor="text1"/>
        </w:rPr>
        <w:t>et prévenir l</w:t>
      </w:r>
      <w:r w:rsidR="00F86CA7">
        <w:rPr>
          <w:rFonts w:ascii="Garamond" w:hAnsi="Garamond"/>
          <w:i/>
          <w:iCs/>
          <w:color w:val="000000" w:themeColor="text1"/>
        </w:rPr>
        <w:t>’</w:t>
      </w:r>
      <w:r w:rsidRPr="001D20B6">
        <w:rPr>
          <w:rFonts w:ascii="Garamond" w:hAnsi="Garamond"/>
          <w:i/>
          <w:iCs/>
          <w:color w:val="000000" w:themeColor="text1"/>
        </w:rPr>
        <w:t>aggravation des dommages susceptibles d</w:t>
      </w:r>
      <w:r w:rsidR="00F86CA7">
        <w:rPr>
          <w:rFonts w:ascii="Garamond" w:hAnsi="Garamond"/>
          <w:i/>
          <w:iCs/>
          <w:color w:val="000000" w:themeColor="text1"/>
        </w:rPr>
        <w:t>’</w:t>
      </w:r>
      <w:r w:rsidRPr="001D20B6">
        <w:rPr>
          <w:rFonts w:ascii="Garamond" w:hAnsi="Garamond"/>
          <w:i/>
          <w:iCs/>
          <w:color w:val="000000" w:themeColor="text1"/>
        </w:rPr>
        <w:t>en résulter</w:t>
      </w:r>
      <w:r>
        <w:rPr>
          <w:rFonts w:ascii="Garamond" w:hAnsi="Garamond"/>
          <w:color w:val="000000" w:themeColor="text1"/>
        </w:rPr>
        <w:t xml:space="preserve"> » (considérant 10). </w:t>
      </w:r>
    </w:p>
    <w:p w14:paraId="1EBD5A83" w14:textId="77777777" w:rsidR="001D20B6" w:rsidRDefault="001D20B6" w:rsidP="001C3EA9">
      <w:pPr>
        <w:tabs>
          <w:tab w:val="left" w:pos="6440"/>
        </w:tabs>
        <w:spacing w:line="252" w:lineRule="auto"/>
        <w:jc w:val="both"/>
        <w:rPr>
          <w:rFonts w:ascii="Garamond" w:hAnsi="Garamond"/>
          <w:color w:val="000000" w:themeColor="text1"/>
        </w:rPr>
      </w:pPr>
    </w:p>
    <w:p w14:paraId="5997C5AB" w14:textId="4068ED4C"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Et s</w:t>
      </w:r>
      <w:r w:rsidR="00F86CA7">
        <w:rPr>
          <w:rFonts w:ascii="Garamond" w:hAnsi="Garamond"/>
          <w:color w:val="000000" w:themeColor="text1"/>
        </w:rPr>
        <w:t>’</w:t>
      </w:r>
      <w:r>
        <w:rPr>
          <w:rFonts w:ascii="Garamond" w:hAnsi="Garamond"/>
          <w:color w:val="000000" w:themeColor="text1"/>
        </w:rPr>
        <w:t>agissant du contenu de l</w:t>
      </w:r>
      <w:r w:rsidR="00F86CA7">
        <w:rPr>
          <w:rFonts w:ascii="Garamond" w:hAnsi="Garamond"/>
          <w:color w:val="000000" w:themeColor="text1"/>
        </w:rPr>
        <w:t>’</w:t>
      </w:r>
      <w:r>
        <w:rPr>
          <w:rFonts w:ascii="Garamond" w:hAnsi="Garamond"/>
          <w:color w:val="000000" w:themeColor="text1"/>
        </w:rPr>
        <w:t xml:space="preserve">injonction, les motifs du jugement précisent que :  </w:t>
      </w:r>
    </w:p>
    <w:p w14:paraId="1228DE16" w14:textId="77777777" w:rsidR="001D20B6" w:rsidRDefault="001D20B6" w:rsidP="001C3EA9">
      <w:pPr>
        <w:tabs>
          <w:tab w:val="left" w:pos="6440"/>
        </w:tabs>
        <w:spacing w:line="252" w:lineRule="auto"/>
        <w:jc w:val="both"/>
        <w:rPr>
          <w:rFonts w:ascii="Garamond" w:hAnsi="Garamond"/>
          <w:color w:val="000000" w:themeColor="text1"/>
        </w:rPr>
      </w:pPr>
    </w:p>
    <w:p w14:paraId="3798D9C6" w14:textId="74163353" w:rsidR="001D20B6" w:rsidRDefault="001D20B6" w:rsidP="001D20B6">
      <w:pPr>
        <w:tabs>
          <w:tab w:val="left" w:pos="6440"/>
        </w:tabs>
        <w:spacing w:line="252" w:lineRule="auto"/>
        <w:ind w:left="567"/>
        <w:jc w:val="both"/>
        <w:rPr>
          <w:rFonts w:ascii="Garamond" w:hAnsi="Garamond"/>
          <w:color w:val="000000" w:themeColor="text1"/>
        </w:rPr>
      </w:pPr>
      <w:r>
        <w:rPr>
          <w:rFonts w:ascii="Garamond" w:hAnsi="Garamond"/>
          <w:color w:val="000000" w:themeColor="text1"/>
        </w:rPr>
        <w:t>« </w:t>
      </w:r>
      <w:r w:rsidRPr="001D20B6">
        <w:rPr>
          <w:rFonts w:ascii="Garamond" w:hAnsi="Garamond"/>
          <w:i/>
          <w:iCs/>
          <w:color w:val="000000" w:themeColor="text1"/>
        </w:rPr>
        <w:t>Dans les circonstances de l</w:t>
      </w:r>
      <w:r w:rsidR="00F86CA7">
        <w:rPr>
          <w:rFonts w:ascii="Garamond" w:hAnsi="Garamond"/>
          <w:i/>
          <w:iCs/>
          <w:color w:val="000000" w:themeColor="text1"/>
        </w:rPr>
        <w:t>’</w:t>
      </w:r>
      <w:r w:rsidRPr="001D20B6">
        <w:rPr>
          <w:rFonts w:ascii="Garamond" w:hAnsi="Garamond"/>
          <w:i/>
          <w:iCs/>
          <w:color w:val="000000" w:themeColor="text1"/>
        </w:rPr>
        <w:t>espèce, il y a lieu, d</w:t>
      </w:r>
      <w:r w:rsidR="00F86CA7">
        <w:rPr>
          <w:rFonts w:ascii="Garamond" w:hAnsi="Garamond"/>
          <w:i/>
          <w:iCs/>
          <w:color w:val="000000" w:themeColor="text1"/>
        </w:rPr>
        <w:t>’</w:t>
      </w:r>
      <w:r w:rsidRPr="001D20B6">
        <w:rPr>
          <w:rFonts w:ascii="Garamond" w:hAnsi="Garamond"/>
          <w:i/>
          <w:iCs/>
          <w:color w:val="000000" w:themeColor="text1"/>
        </w:rPr>
        <w:t xml:space="preserve">ordonner au Premier ministre et aux ministres compétents de prendre toutes les </w:t>
      </w:r>
      <w:r w:rsidRPr="001D20B6">
        <w:rPr>
          <w:rFonts w:ascii="Garamond" w:hAnsi="Garamond"/>
          <w:i/>
          <w:iCs/>
          <w:color w:val="000000" w:themeColor="text1"/>
          <w:u w:val="single"/>
        </w:rPr>
        <w:t>mesures sectorielles utiles</w:t>
      </w:r>
      <w:r w:rsidRPr="001D20B6">
        <w:rPr>
          <w:rFonts w:ascii="Garamond" w:hAnsi="Garamond"/>
          <w:i/>
          <w:iCs/>
          <w:color w:val="000000" w:themeColor="text1"/>
        </w:rPr>
        <w:t xml:space="preserve"> de nature à </w:t>
      </w:r>
      <w:r w:rsidRPr="001D20B6">
        <w:rPr>
          <w:rFonts w:ascii="Garamond" w:hAnsi="Garamond"/>
          <w:i/>
          <w:iCs/>
          <w:color w:val="000000" w:themeColor="text1"/>
          <w:u w:val="single"/>
        </w:rPr>
        <w:t>réparer</w:t>
      </w:r>
      <w:r w:rsidRPr="001D20B6">
        <w:rPr>
          <w:rFonts w:ascii="Garamond" w:hAnsi="Garamond"/>
          <w:i/>
          <w:iCs/>
          <w:color w:val="000000" w:themeColor="text1"/>
        </w:rPr>
        <w:t xml:space="preserve"> le préjudice à hauteur de la part non compensée d</w:t>
      </w:r>
      <w:r w:rsidR="00F86CA7">
        <w:rPr>
          <w:rFonts w:ascii="Garamond" w:hAnsi="Garamond"/>
          <w:i/>
          <w:iCs/>
          <w:color w:val="000000" w:themeColor="text1"/>
        </w:rPr>
        <w:t>’</w:t>
      </w:r>
      <w:r w:rsidRPr="001D20B6">
        <w:rPr>
          <w:rFonts w:ascii="Garamond" w:hAnsi="Garamond"/>
          <w:i/>
          <w:iCs/>
          <w:color w:val="000000" w:themeColor="text1"/>
        </w:rPr>
        <w:t>émissions de gaz à effet de serre au titre du premier budget carbone, soit 15 Mt CO2eq, et sous réserve d</w:t>
      </w:r>
      <w:r w:rsidR="00F86CA7">
        <w:rPr>
          <w:rFonts w:ascii="Garamond" w:hAnsi="Garamond"/>
          <w:i/>
          <w:iCs/>
          <w:color w:val="000000" w:themeColor="text1"/>
        </w:rPr>
        <w:t>’</w:t>
      </w:r>
      <w:r w:rsidRPr="001D20B6">
        <w:rPr>
          <w:rFonts w:ascii="Garamond" w:hAnsi="Garamond"/>
          <w:i/>
          <w:iCs/>
          <w:color w:val="000000" w:themeColor="text1"/>
        </w:rPr>
        <w:t>un ajustement au regard des données estimées du CITEPA connues au 31 janvier 2022, lesquelles permettent d</w:t>
      </w:r>
      <w:r w:rsidR="00F86CA7">
        <w:rPr>
          <w:rFonts w:ascii="Garamond" w:hAnsi="Garamond"/>
          <w:i/>
          <w:iCs/>
          <w:color w:val="000000" w:themeColor="text1"/>
        </w:rPr>
        <w:t>’</w:t>
      </w:r>
      <w:r w:rsidRPr="001D20B6">
        <w:rPr>
          <w:rFonts w:ascii="Garamond" w:hAnsi="Garamond"/>
          <w:i/>
          <w:iCs/>
          <w:color w:val="000000" w:themeColor="text1"/>
        </w:rPr>
        <w:t>assurer un mécanisme de suivi des émissions de GES. S</w:t>
      </w:r>
      <w:r w:rsidR="00F86CA7">
        <w:rPr>
          <w:rFonts w:ascii="Garamond" w:hAnsi="Garamond"/>
          <w:i/>
          <w:iCs/>
          <w:color w:val="000000" w:themeColor="text1"/>
        </w:rPr>
        <w:t>’</w:t>
      </w:r>
      <w:r w:rsidRPr="001D20B6">
        <w:rPr>
          <w:rFonts w:ascii="Garamond" w:hAnsi="Garamond"/>
          <w:i/>
          <w:iCs/>
          <w:color w:val="000000" w:themeColor="text1"/>
        </w:rPr>
        <w:t>agissant de l</w:t>
      </w:r>
      <w:r w:rsidR="00F86CA7">
        <w:rPr>
          <w:rFonts w:ascii="Garamond" w:hAnsi="Garamond"/>
          <w:i/>
          <w:iCs/>
          <w:color w:val="000000" w:themeColor="text1"/>
        </w:rPr>
        <w:t>’</w:t>
      </w:r>
      <w:r w:rsidRPr="001D20B6">
        <w:rPr>
          <w:rFonts w:ascii="Garamond" w:hAnsi="Garamond"/>
          <w:i/>
          <w:iCs/>
          <w:color w:val="000000" w:themeColor="text1"/>
        </w:rPr>
        <w:t>effet cumulatif du préjudice lié à la persistance des gaz à effet de serre dans l</w:t>
      </w:r>
      <w:r w:rsidR="00F86CA7">
        <w:rPr>
          <w:rFonts w:ascii="Garamond" w:hAnsi="Garamond"/>
          <w:i/>
          <w:iCs/>
          <w:color w:val="000000" w:themeColor="text1"/>
        </w:rPr>
        <w:t>’</w:t>
      </w:r>
      <w:r w:rsidRPr="001D20B6">
        <w:rPr>
          <w:rFonts w:ascii="Garamond" w:hAnsi="Garamond"/>
          <w:i/>
          <w:iCs/>
          <w:color w:val="000000" w:themeColor="text1"/>
        </w:rPr>
        <w:t>atmosphère et des dommages susceptibles d</w:t>
      </w:r>
      <w:r w:rsidR="00F86CA7">
        <w:rPr>
          <w:rFonts w:ascii="Garamond" w:hAnsi="Garamond"/>
          <w:i/>
          <w:iCs/>
          <w:color w:val="000000" w:themeColor="text1"/>
        </w:rPr>
        <w:t>’</w:t>
      </w:r>
      <w:r w:rsidRPr="001D20B6">
        <w:rPr>
          <w:rFonts w:ascii="Garamond" w:hAnsi="Garamond"/>
          <w:i/>
          <w:iCs/>
          <w:color w:val="000000" w:themeColor="text1"/>
        </w:rPr>
        <w:t>en résulter, en l</w:t>
      </w:r>
      <w:r w:rsidR="00F86CA7">
        <w:rPr>
          <w:rFonts w:ascii="Garamond" w:hAnsi="Garamond"/>
          <w:i/>
          <w:iCs/>
          <w:color w:val="000000" w:themeColor="text1"/>
        </w:rPr>
        <w:t>’</w:t>
      </w:r>
      <w:r w:rsidRPr="001D20B6">
        <w:rPr>
          <w:rFonts w:ascii="Garamond" w:hAnsi="Garamond"/>
          <w:i/>
          <w:iCs/>
          <w:color w:val="000000" w:themeColor="text1"/>
        </w:rPr>
        <w:t>absence d</w:t>
      </w:r>
      <w:r w:rsidR="00F86CA7">
        <w:rPr>
          <w:rFonts w:ascii="Garamond" w:hAnsi="Garamond"/>
          <w:i/>
          <w:iCs/>
          <w:color w:val="000000" w:themeColor="text1"/>
        </w:rPr>
        <w:t>’</w:t>
      </w:r>
      <w:r w:rsidRPr="001D20B6">
        <w:rPr>
          <w:rFonts w:ascii="Garamond" w:hAnsi="Garamond"/>
          <w:i/>
          <w:iCs/>
          <w:color w:val="000000" w:themeColor="text1"/>
        </w:rPr>
        <w:t>éléments permettant de quantifier un tel préjudice, et alors que la demande de versement d</w:t>
      </w:r>
      <w:r w:rsidR="00F86CA7">
        <w:rPr>
          <w:rFonts w:ascii="Garamond" w:hAnsi="Garamond"/>
          <w:i/>
          <w:iCs/>
          <w:color w:val="000000" w:themeColor="text1"/>
        </w:rPr>
        <w:t>’</w:t>
      </w:r>
      <w:r w:rsidRPr="001D20B6">
        <w:rPr>
          <w:rFonts w:ascii="Garamond" w:hAnsi="Garamond"/>
          <w:i/>
          <w:iCs/>
          <w:color w:val="000000" w:themeColor="text1"/>
        </w:rPr>
        <w:t>un euro symbolique en réparation du préjudice écologique a déjà été regardée comme dépourvue de lien avec l</w:t>
      </w:r>
      <w:r w:rsidR="00F86CA7">
        <w:rPr>
          <w:rFonts w:ascii="Garamond" w:hAnsi="Garamond"/>
          <w:i/>
          <w:iCs/>
          <w:color w:val="000000" w:themeColor="text1"/>
        </w:rPr>
        <w:t>’</w:t>
      </w:r>
      <w:r w:rsidRPr="001D20B6">
        <w:rPr>
          <w:rFonts w:ascii="Garamond" w:hAnsi="Garamond"/>
          <w:i/>
          <w:iCs/>
          <w:color w:val="000000" w:themeColor="text1"/>
        </w:rPr>
        <w:t>importance de celui-ci, il y a lieu, ainsi qu</w:t>
      </w:r>
      <w:r w:rsidR="00F86CA7">
        <w:rPr>
          <w:rFonts w:ascii="Garamond" w:hAnsi="Garamond"/>
          <w:i/>
          <w:iCs/>
          <w:color w:val="000000" w:themeColor="text1"/>
        </w:rPr>
        <w:t>’</w:t>
      </w:r>
      <w:r w:rsidRPr="001D20B6">
        <w:rPr>
          <w:rFonts w:ascii="Garamond" w:hAnsi="Garamond"/>
          <w:i/>
          <w:iCs/>
          <w:color w:val="000000" w:themeColor="text1"/>
        </w:rPr>
        <w:t>il a été dit, d</w:t>
      </w:r>
      <w:r w:rsidR="00F86CA7">
        <w:rPr>
          <w:rFonts w:ascii="Garamond" w:hAnsi="Garamond"/>
          <w:i/>
          <w:iCs/>
          <w:color w:val="000000" w:themeColor="text1"/>
        </w:rPr>
        <w:t>’</w:t>
      </w:r>
      <w:r w:rsidRPr="001D20B6">
        <w:rPr>
          <w:rFonts w:ascii="Garamond" w:hAnsi="Garamond"/>
          <w:i/>
          <w:iCs/>
          <w:color w:val="000000" w:themeColor="text1"/>
        </w:rPr>
        <w:t>ordonner l</w:t>
      </w:r>
      <w:r w:rsidR="00F86CA7">
        <w:rPr>
          <w:rFonts w:ascii="Garamond" w:hAnsi="Garamond"/>
          <w:i/>
          <w:iCs/>
          <w:color w:val="000000" w:themeColor="text1"/>
        </w:rPr>
        <w:t>’</w:t>
      </w:r>
      <w:r w:rsidRPr="001D20B6">
        <w:rPr>
          <w:rFonts w:ascii="Garamond" w:hAnsi="Garamond"/>
          <w:i/>
          <w:iCs/>
          <w:color w:val="000000" w:themeColor="text1"/>
        </w:rPr>
        <w:t xml:space="preserve">édiction de telles mesures dans un délai suffisamment bref pour </w:t>
      </w:r>
      <w:r w:rsidRPr="001D20B6">
        <w:rPr>
          <w:rFonts w:ascii="Garamond" w:hAnsi="Garamond"/>
          <w:i/>
          <w:iCs/>
          <w:color w:val="000000" w:themeColor="text1"/>
          <w:u w:val="single"/>
        </w:rPr>
        <w:t>prévenir l</w:t>
      </w:r>
      <w:r w:rsidR="00F86CA7">
        <w:rPr>
          <w:rFonts w:ascii="Garamond" w:hAnsi="Garamond"/>
          <w:i/>
          <w:iCs/>
          <w:color w:val="000000" w:themeColor="text1"/>
          <w:u w:val="single"/>
        </w:rPr>
        <w:t>’</w:t>
      </w:r>
      <w:r w:rsidRPr="001D20B6">
        <w:rPr>
          <w:rFonts w:ascii="Garamond" w:hAnsi="Garamond"/>
          <w:i/>
          <w:iCs/>
          <w:color w:val="000000" w:themeColor="text1"/>
          <w:u w:val="single"/>
        </w:rPr>
        <w:t>aggravation de ces dommages</w:t>
      </w:r>
      <w:r w:rsidRPr="001D20B6">
        <w:rPr>
          <w:rFonts w:ascii="Garamond" w:hAnsi="Garamond"/>
          <w:i/>
          <w:iCs/>
          <w:color w:val="000000" w:themeColor="text1"/>
        </w:rPr>
        <w:t xml:space="preserve">. Dans le cadre du présent litige, les </w:t>
      </w:r>
      <w:r w:rsidRPr="001D20B6">
        <w:rPr>
          <w:rFonts w:ascii="Garamond" w:hAnsi="Garamond"/>
          <w:i/>
          <w:iCs/>
          <w:color w:val="000000" w:themeColor="text1"/>
          <w:u w:val="single"/>
        </w:rPr>
        <w:t>mesures concrètes</w:t>
      </w:r>
      <w:r w:rsidRPr="001D20B6">
        <w:rPr>
          <w:rFonts w:ascii="Garamond" w:hAnsi="Garamond"/>
          <w:i/>
          <w:iCs/>
          <w:color w:val="000000" w:themeColor="text1"/>
        </w:rPr>
        <w:t xml:space="preserve"> de nature à permettre la réparation du préjudice peuvent </w:t>
      </w:r>
      <w:r w:rsidRPr="001D20B6">
        <w:rPr>
          <w:rFonts w:ascii="Garamond" w:hAnsi="Garamond"/>
          <w:i/>
          <w:iCs/>
          <w:color w:val="000000" w:themeColor="text1"/>
          <w:u w:val="single"/>
        </w:rPr>
        <w:t>revêtir diverses formes</w:t>
      </w:r>
      <w:r w:rsidRPr="001D20B6">
        <w:rPr>
          <w:rFonts w:ascii="Garamond" w:hAnsi="Garamond"/>
          <w:i/>
          <w:iCs/>
          <w:color w:val="000000" w:themeColor="text1"/>
        </w:rPr>
        <w:t xml:space="preserve"> et expriment, par suite, des choix relevant de la libre appréciation du Gouvernement</w:t>
      </w:r>
      <w:r>
        <w:rPr>
          <w:rFonts w:ascii="Garamond" w:hAnsi="Garamond"/>
          <w:color w:val="000000" w:themeColor="text1"/>
        </w:rPr>
        <w:t xml:space="preserve"> » (considérant 13, soulignement ajouté). </w:t>
      </w:r>
    </w:p>
    <w:p w14:paraId="24D2F3B5" w14:textId="77777777" w:rsidR="001D20B6" w:rsidRDefault="001D20B6" w:rsidP="001D20B6">
      <w:pPr>
        <w:spacing w:line="252" w:lineRule="auto"/>
        <w:jc w:val="both"/>
        <w:rPr>
          <w:rFonts w:ascii="Garamond" w:hAnsi="Garamond"/>
        </w:rPr>
      </w:pPr>
    </w:p>
    <w:p w14:paraId="4BDC1B35" w14:textId="77777777" w:rsidR="001D20B6" w:rsidRPr="00F52A38" w:rsidRDefault="001D20B6" w:rsidP="001D20B6">
      <w:pPr>
        <w:numPr>
          <w:ilvl w:val="0"/>
          <w:numId w:val="1"/>
        </w:numPr>
        <w:spacing w:line="252" w:lineRule="auto"/>
        <w:ind w:left="0" w:firstLine="0"/>
        <w:jc w:val="both"/>
        <w:rPr>
          <w:rFonts w:ascii="Garamond" w:hAnsi="Garamond"/>
          <w:color w:val="000000" w:themeColor="text1"/>
        </w:rPr>
      </w:pPr>
    </w:p>
    <w:p w14:paraId="560C906D" w14:textId="77777777" w:rsidR="001D20B6" w:rsidRDefault="001D20B6" w:rsidP="001D20B6">
      <w:pPr>
        <w:tabs>
          <w:tab w:val="left" w:pos="6440"/>
        </w:tabs>
        <w:spacing w:line="252" w:lineRule="auto"/>
        <w:jc w:val="both"/>
        <w:rPr>
          <w:rFonts w:ascii="Garamond" w:hAnsi="Garamond"/>
          <w:color w:val="000000" w:themeColor="text1"/>
        </w:rPr>
      </w:pPr>
    </w:p>
    <w:p w14:paraId="6396124B" w14:textId="41ED2AB8"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Dans ce cadre, si l</w:t>
      </w:r>
      <w:r w:rsidR="00F86CA7">
        <w:rPr>
          <w:rFonts w:ascii="Garamond" w:hAnsi="Garamond"/>
          <w:color w:val="000000" w:themeColor="text1"/>
        </w:rPr>
        <w:t>’</w:t>
      </w:r>
      <w:r>
        <w:rPr>
          <w:rFonts w:ascii="Garamond" w:hAnsi="Garamond"/>
          <w:color w:val="000000" w:themeColor="text1"/>
        </w:rPr>
        <w:t xml:space="preserve">évaluation initiale du préjudice écologique reposait sur une logique comptable </w:t>
      </w:r>
      <w:r>
        <w:rPr>
          <w:rFonts w:ascii="Garamond" w:hAnsi="Garamond"/>
          <w:color w:val="000000" w:themeColor="text1"/>
        </w:rPr>
        <w:br/>
        <w:t>– fondée sur les différents engagements chiffrés pris par l</w:t>
      </w:r>
      <w:r w:rsidR="00F86CA7">
        <w:rPr>
          <w:rFonts w:ascii="Garamond" w:hAnsi="Garamond"/>
          <w:color w:val="000000" w:themeColor="text1"/>
        </w:rPr>
        <w:t>’</w:t>
      </w:r>
      <w:r>
        <w:rPr>
          <w:rFonts w:ascii="Garamond" w:hAnsi="Garamond"/>
          <w:color w:val="000000" w:themeColor="text1"/>
        </w:rPr>
        <w:t xml:space="preserve">État, et les données scientifiques établies par le Haut Conseil pour le Climat et le CITEPA –, son traitement devait, pour sa part, répondre à une logique corrective. </w:t>
      </w:r>
    </w:p>
    <w:p w14:paraId="7F81B15C" w14:textId="77777777" w:rsidR="001D20B6" w:rsidRDefault="001D20B6" w:rsidP="001C3EA9">
      <w:pPr>
        <w:tabs>
          <w:tab w:val="left" w:pos="6440"/>
        </w:tabs>
        <w:spacing w:line="252" w:lineRule="auto"/>
        <w:jc w:val="both"/>
        <w:rPr>
          <w:rFonts w:ascii="Garamond" w:hAnsi="Garamond"/>
          <w:color w:val="000000" w:themeColor="text1"/>
        </w:rPr>
      </w:pPr>
    </w:p>
    <w:p w14:paraId="558AC230" w14:textId="22EE62B3"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Ainsi, en distinguant la réparation du préjudice de la cessation de l</w:t>
      </w:r>
      <w:r w:rsidR="00F86CA7">
        <w:rPr>
          <w:rFonts w:ascii="Garamond" w:hAnsi="Garamond"/>
          <w:color w:val="000000" w:themeColor="text1"/>
        </w:rPr>
        <w:t>’</w:t>
      </w:r>
      <w:r>
        <w:rPr>
          <w:rFonts w:ascii="Garamond" w:hAnsi="Garamond"/>
          <w:color w:val="000000" w:themeColor="text1"/>
        </w:rPr>
        <w:t>aggravation des dommages, l</w:t>
      </w:r>
      <w:r w:rsidR="00F86CA7">
        <w:rPr>
          <w:rFonts w:ascii="Garamond" w:hAnsi="Garamond"/>
          <w:color w:val="000000" w:themeColor="text1"/>
        </w:rPr>
        <w:t>’</w:t>
      </w:r>
      <w:r>
        <w:rPr>
          <w:rFonts w:ascii="Garamond" w:hAnsi="Garamond"/>
          <w:color w:val="000000" w:themeColor="text1"/>
        </w:rPr>
        <w:t>injonction prononcée ne se bornait pas à exiger de l</w:t>
      </w:r>
      <w:r w:rsidR="00F86CA7">
        <w:rPr>
          <w:rFonts w:ascii="Garamond" w:hAnsi="Garamond"/>
          <w:color w:val="000000" w:themeColor="text1"/>
        </w:rPr>
        <w:t>’</w:t>
      </w:r>
      <w:r>
        <w:rPr>
          <w:rFonts w:ascii="Garamond" w:hAnsi="Garamond"/>
          <w:color w:val="000000" w:themeColor="text1"/>
        </w:rPr>
        <w:t>État, pour l</w:t>
      </w:r>
      <w:r w:rsidR="00F86CA7">
        <w:rPr>
          <w:rFonts w:ascii="Garamond" w:hAnsi="Garamond"/>
          <w:color w:val="000000" w:themeColor="text1"/>
        </w:rPr>
        <w:t>’</w:t>
      </w:r>
      <w:r>
        <w:rPr>
          <w:rFonts w:ascii="Garamond" w:hAnsi="Garamond"/>
          <w:color w:val="000000" w:themeColor="text1"/>
        </w:rPr>
        <w:t>avenir, une simple compensation, d</w:t>
      </w:r>
      <w:r w:rsidR="00F86CA7">
        <w:rPr>
          <w:rFonts w:ascii="Garamond" w:hAnsi="Garamond"/>
          <w:color w:val="000000" w:themeColor="text1"/>
        </w:rPr>
        <w:t>’</w:t>
      </w:r>
      <w:r>
        <w:rPr>
          <w:rFonts w:ascii="Garamond" w:hAnsi="Garamond"/>
          <w:color w:val="000000" w:themeColor="text1"/>
        </w:rPr>
        <w:t>ordre arithmétique, de surplus passés d</w:t>
      </w:r>
      <w:r w:rsidR="00F86CA7">
        <w:rPr>
          <w:rFonts w:ascii="Garamond" w:hAnsi="Garamond"/>
          <w:color w:val="000000" w:themeColor="text1"/>
        </w:rPr>
        <w:t>’</w:t>
      </w:r>
      <w:r>
        <w:rPr>
          <w:rFonts w:ascii="Garamond" w:hAnsi="Garamond"/>
          <w:color w:val="000000" w:themeColor="text1"/>
        </w:rPr>
        <w:t xml:space="preserve">émissions de gaz à effet de serre. </w:t>
      </w:r>
    </w:p>
    <w:p w14:paraId="6C8E465F" w14:textId="77777777" w:rsidR="001D20B6" w:rsidRDefault="001D20B6" w:rsidP="001C3EA9">
      <w:pPr>
        <w:tabs>
          <w:tab w:val="left" w:pos="6440"/>
        </w:tabs>
        <w:spacing w:line="252" w:lineRule="auto"/>
        <w:jc w:val="both"/>
        <w:rPr>
          <w:rFonts w:ascii="Garamond" w:hAnsi="Garamond"/>
          <w:color w:val="000000" w:themeColor="text1"/>
        </w:rPr>
      </w:pPr>
    </w:p>
    <w:p w14:paraId="7D18EE81" w14:textId="703C8E1D"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Elle supposait, plus largement, l</w:t>
      </w:r>
      <w:r w:rsidR="00F86CA7">
        <w:rPr>
          <w:rFonts w:ascii="Garamond" w:hAnsi="Garamond"/>
          <w:color w:val="000000" w:themeColor="text1"/>
        </w:rPr>
        <w:t>’</w:t>
      </w:r>
      <w:r>
        <w:rPr>
          <w:rFonts w:ascii="Garamond" w:hAnsi="Garamond"/>
          <w:color w:val="000000" w:themeColor="text1"/>
        </w:rPr>
        <w:t>adoption de mesures sectorielles et concrètes, spécifiquement consacrées à la prise en compte du préjudice constaté, et permettant tout à la fois d</w:t>
      </w:r>
      <w:r w:rsidR="00F86CA7">
        <w:rPr>
          <w:rFonts w:ascii="Garamond" w:hAnsi="Garamond"/>
          <w:color w:val="000000" w:themeColor="text1"/>
        </w:rPr>
        <w:t>’</w:t>
      </w:r>
      <w:r>
        <w:rPr>
          <w:rFonts w:ascii="Garamond" w:hAnsi="Garamond"/>
          <w:color w:val="000000" w:themeColor="text1"/>
        </w:rPr>
        <w:t>agir sur ses causes, et de tenir compte de ses conséquences dommageables – principalement liées à la persistance, dans l</w:t>
      </w:r>
      <w:r w:rsidR="00F86CA7">
        <w:rPr>
          <w:rFonts w:ascii="Garamond" w:hAnsi="Garamond"/>
          <w:color w:val="000000" w:themeColor="text1"/>
        </w:rPr>
        <w:t>’</w:t>
      </w:r>
      <w:r>
        <w:rPr>
          <w:rFonts w:ascii="Garamond" w:hAnsi="Garamond"/>
          <w:color w:val="000000" w:themeColor="text1"/>
        </w:rPr>
        <w:t>atmosphère, d</w:t>
      </w:r>
      <w:r w:rsidR="00F86CA7">
        <w:rPr>
          <w:rFonts w:ascii="Garamond" w:hAnsi="Garamond"/>
          <w:color w:val="000000" w:themeColor="text1"/>
        </w:rPr>
        <w:t>’</w:t>
      </w:r>
      <w:r>
        <w:rPr>
          <w:rFonts w:ascii="Garamond" w:hAnsi="Garamond"/>
          <w:color w:val="000000" w:themeColor="text1"/>
        </w:rPr>
        <w:t>un surplus d</w:t>
      </w:r>
      <w:r w:rsidR="00F86CA7">
        <w:rPr>
          <w:rFonts w:ascii="Garamond" w:hAnsi="Garamond"/>
          <w:color w:val="000000" w:themeColor="text1"/>
        </w:rPr>
        <w:t>’</w:t>
      </w:r>
      <w:r>
        <w:rPr>
          <w:rFonts w:ascii="Garamond" w:hAnsi="Garamond"/>
          <w:color w:val="000000" w:themeColor="text1"/>
        </w:rPr>
        <w:t xml:space="preserve">émissions. </w:t>
      </w:r>
    </w:p>
    <w:p w14:paraId="05F5323A" w14:textId="77777777" w:rsidR="001D20B6" w:rsidRDefault="001D20B6" w:rsidP="001C3EA9">
      <w:pPr>
        <w:tabs>
          <w:tab w:val="left" w:pos="6440"/>
        </w:tabs>
        <w:spacing w:line="252" w:lineRule="auto"/>
        <w:jc w:val="both"/>
        <w:rPr>
          <w:rFonts w:ascii="Garamond" w:hAnsi="Garamond"/>
          <w:color w:val="000000" w:themeColor="text1"/>
        </w:rPr>
      </w:pPr>
    </w:p>
    <w:p w14:paraId="1F614BB7" w14:textId="0048AB26" w:rsidR="001D20B6" w:rsidRPr="001D20B6" w:rsidRDefault="001D20B6" w:rsidP="001D20B6">
      <w:pPr>
        <w:tabs>
          <w:tab w:val="left" w:pos="6440"/>
        </w:tabs>
        <w:spacing w:line="252" w:lineRule="auto"/>
        <w:jc w:val="both"/>
        <w:rPr>
          <w:rFonts w:ascii="Garamond" w:hAnsi="Garamond"/>
          <w:color w:val="000000" w:themeColor="text1"/>
        </w:rPr>
      </w:pPr>
      <w:r>
        <w:rPr>
          <w:rFonts w:ascii="Garamond" w:hAnsi="Garamond"/>
          <w:color w:val="000000" w:themeColor="text1"/>
        </w:rPr>
        <w:lastRenderedPageBreak/>
        <w:t>Autrement dit, l</w:t>
      </w:r>
      <w:r w:rsidR="00F86CA7">
        <w:rPr>
          <w:rFonts w:ascii="Garamond" w:hAnsi="Garamond"/>
          <w:color w:val="000000" w:themeColor="text1"/>
        </w:rPr>
        <w:t>’</w:t>
      </w:r>
      <w:r>
        <w:rPr>
          <w:rFonts w:ascii="Garamond" w:hAnsi="Garamond"/>
          <w:color w:val="000000" w:themeColor="text1"/>
        </w:rPr>
        <w:t>injonction prononcée par le Tribunal poursuivait deux objectifs distincts : elle tendait, d</w:t>
      </w:r>
      <w:r w:rsidR="00F86CA7">
        <w:rPr>
          <w:rFonts w:ascii="Garamond" w:hAnsi="Garamond"/>
          <w:color w:val="000000" w:themeColor="text1"/>
        </w:rPr>
        <w:t>’</w:t>
      </w:r>
      <w:r>
        <w:rPr>
          <w:rFonts w:ascii="Garamond" w:hAnsi="Garamond"/>
          <w:color w:val="000000" w:themeColor="text1"/>
        </w:rPr>
        <w:t xml:space="preserve">une part, à la réparation du préjudice </w:t>
      </w:r>
      <w:r w:rsidRPr="001D20B6">
        <w:rPr>
          <w:rFonts w:ascii="Garamond" w:hAnsi="Garamond"/>
          <w:color w:val="000000" w:themeColor="text1"/>
        </w:rPr>
        <w:t xml:space="preserve">– </w:t>
      </w:r>
      <w:r>
        <w:rPr>
          <w:rFonts w:ascii="Garamond" w:hAnsi="Garamond"/>
          <w:color w:val="000000" w:themeColor="text1"/>
        </w:rPr>
        <w:t>consistant à</w:t>
      </w:r>
      <w:r w:rsidRPr="001D20B6">
        <w:rPr>
          <w:rFonts w:ascii="Garamond" w:hAnsi="Garamond"/>
          <w:color w:val="000000" w:themeColor="text1"/>
        </w:rPr>
        <w:t xml:space="preserve"> pallier le dépassement fautif du premier budget carbone –</w:t>
      </w:r>
      <w:r>
        <w:rPr>
          <w:rFonts w:ascii="Garamond" w:hAnsi="Garamond"/>
          <w:color w:val="000000" w:themeColor="text1"/>
        </w:rPr>
        <w:t xml:space="preserve"> et s</w:t>
      </w:r>
      <w:r w:rsidR="00F86CA7">
        <w:rPr>
          <w:rFonts w:ascii="Garamond" w:hAnsi="Garamond"/>
          <w:color w:val="000000" w:themeColor="text1"/>
        </w:rPr>
        <w:t>’</w:t>
      </w:r>
      <w:r>
        <w:rPr>
          <w:rFonts w:ascii="Garamond" w:hAnsi="Garamond"/>
          <w:color w:val="000000" w:themeColor="text1"/>
        </w:rPr>
        <w:t>inscrivait, d</w:t>
      </w:r>
      <w:r w:rsidR="00F86CA7">
        <w:rPr>
          <w:rFonts w:ascii="Garamond" w:hAnsi="Garamond"/>
          <w:color w:val="000000" w:themeColor="text1"/>
        </w:rPr>
        <w:t>’</w:t>
      </w:r>
      <w:r>
        <w:rPr>
          <w:rFonts w:ascii="Garamond" w:hAnsi="Garamond"/>
          <w:color w:val="000000" w:themeColor="text1"/>
        </w:rPr>
        <w:t xml:space="preserve">autre part, dans une logique préventive </w:t>
      </w:r>
      <w:r w:rsidRPr="001D20B6">
        <w:rPr>
          <w:rFonts w:ascii="Garamond" w:hAnsi="Garamond"/>
          <w:color w:val="000000" w:themeColor="text1"/>
        </w:rPr>
        <w:t xml:space="preserve">– </w:t>
      </w:r>
      <w:r>
        <w:rPr>
          <w:rFonts w:ascii="Garamond" w:hAnsi="Garamond"/>
          <w:color w:val="000000" w:themeColor="text1"/>
        </w:rPr>
        <w:t>impliquant d</w:t>
      </w:r>
      <w:r w:rsidR="00F86CA7">
        <w:rPr>
          <w:rFonts w:ascii="Garamond" w:hAnsi="Garamond"/>
          <w:color w:val="000000" w:themeColor="text1"/>
        </w:rPr>
        <w:t>’</w:t>
      </w:r>
      <w:r>
        <w:rPr>
          <w:rFonts w:ascii="Garamond" w:hAnsi="Garamond"/>
          <w:color w:val="000000" w:themeColor="text1"/>
        </w:rPr>
        <w:t xml:space="preserve">agir sur les </w:t>
      </w:r>
      <w:r w:rsidRPr="001D20B6">
        <w:rPr>
          <w:rFonts w:ascii="Garamond" w:hAnsi="Garamond"/>
          <w:color w:val="000000" w:themeColor="text1"/>
        </w:rPr>
        <w:t>cause</w:t>
      </w:r>
      <w:r>
        <w:rPr>
          <w:rFonts w:ascii="Garamond" w:hAnsi="Garamond"/>
          <w:color w:val="000000" w:themeColor="text1"/>
        </w:rPr>
        <w:t>s</w:t>
      </w:r>
      <w:r w:rsidRPr="001D20B6">
        <w:rPr>
          <w:rFonts w:ascii="Garamond" w:hAnsi="Garamond"/>
          <w:color w:val="000000" w:themeColor="text1"/>
        </w:rPr>
        <w:t xml:space="preserve"> du préjudice, afin d</w:t>
      </w:r>
      <w:r w:rsidR="00F86CA7">
        <w:rPr>
          <w:rFonts w:ascii="Garamond" w:hAnsi="Garamond"/>
          <w:color w:val="000000" w:themeColor="text1"/>
        </w:rPr>
        <w:t>’</w:t>
      </w:r>
      <w:r w:rsidRPr="001D20B6">
        <w:rPr>
          <w:rFonts w:ascii="Garamond" w:hAnsi="Garamond"/>
          <w:color w:val="000000" w:themeColor="text1"/>
        </w:rPr>
        <w:t>éviter que les dommages constatés ne se perpétuent, ou se reproduisent à l</w:t>
      </w:r>
      <w:r w:rsidR="00F86CA7">
        <w:rPr>
          <w:rFonts w:ascii="Garamond" w:hAnsi="Garamond"/>
          <w:color w:val="000000" w:themeColor="text1"/>
        </w:rPr>
        <w:t>’</w:t>
      </w:r>
      <w:r w:rsidRPr="001D20B6">
        <w:rPr>
          <w:rFonts w:ascii="Garamond" w:hAnsi="Garamond"/>
          <w:color w:val="000000" w:themeColor="text1"/>
        </w:rPr>
        <w:t xml:space="preserve">avenir. </w:t>
      </w:r>
    </w:p>
    <w:p w14:paraId="47A5B0F0" w14:textId="77777777" w:rsidR="001D20B6" w:rsidRDefault="001D20B6" w:rsidP="001C3EA9">
      <w:pPr>
        <w:tabs>
          <w:tab w:val="left" w:pos="6440"/>
        </w:tabs>
        <w:spacing w:line="252" w:lineRule="auto"/>
        <w:jc w:val="both"/>
        <w:rPr>
          <w:rFonts w:ascii="Garamond" w:hAnsi="Garamond"/>
          <w:color w:val="000000" w:themeColor="text1"/>
        </w:rPr>
      </w:pPr>
    </w:p>
    <w:p w14:paraId="1FD10FF7" w14:textId="570A48CC"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 xml:space="preserve">Deux catégories de mesures étaient ainsi attendues de la part des ministres compétents : </w:t>
      </w:r>
    </w:p>
    <w:p w14:paraId="1510408D" w14:textId="77777777" w:rsidR="001D20B6" w:rsidRDefault="001D20B6" w:rsidP="001C3EA9">
      <w:pPr>
        <w:tabs>
          <w:tab w:val="left" w:pos="6440"/>
        </w:tabs>
        <w:spacing w:line="252" w:lineRule="auto"/>
        <w:jc w:val="both"/>
        <w:rPr>
          <w:rFonts w:ascii="Garamond" w:hAnsi="Garamond"/>
          <w:color w:val="000000" w:themeColor="text1"/>
        </w:rPr>
      </w:pPr>
    </w:p>
    <w:p w14:paraId="474D4D48" w14:textId="71270070" w:rsidR="001D20B6" w:rsidRDefault="001D20B6" w:rsidP="001D20B6">
      <w:pPr>
        <w:pStyle w:val="Paragraphedeliste"/>
        <w:numPr>
          <w:ilvl w:val="0"/>
          <w:numId w:val="37"/>
        </w:numPr>
        <w:tabs>
          <w:tab w:val="left" w:pos="6440"/>
        </w:tabs>
        <w:spacing w:line="252" w:lineRule="auto"/>
        <w:ind w:left="567"/>
        <w:jc w:val="both"/>
        <w:rPr>
          <w:rFonts w:ascii="Garamond" w:hAnsi="Garamond"/>
          <w:color w:val="000000" w:themeColor="text1"/>
        </w:rPr>
      </w:pPr>
      <w:r>
        <w:rPr>
          <w:rFonts w:ascii="Garamond" w:hAnsi="Garamond"/>
          <w:color w:val="000000" w:themeColor="text1"/>
        </w:rPr>
        <w:t xml:space="preserve">des mesures </w:t>
      </w:r>
      <w:r w:rsidR="009910C0">
        <w:rPr>
          <w:rFonts w:ascii="Garamond" w:hAnsi="Garamond"/>
          <w:color w:val="000000" w:themeColor="text1"/>
        </w:rPr>
        <w:t>réparatrices</w:t>
      </w:r>
      <w:r>
        <w:rPr>
          <w:rFonts w:ascii="Garamond" w:hAnsi="Garamond"/>
          <w:color w:val="000000" w:themeColor="text1"/>
        </w:rPr>
        <w:t>, dont l</w:t>
      </w:r>
      <w:r w:rsidR="00F86CA7">
        <w:rPr>
          <w:rFonts w:ascii="Garamond" w:hAnsi="Garamond"/>
          <w:color w:val="000000" w:themeColor="text1"/>
        </w:rPr>
        <w:t>’</w:t>
      </w:r>
      <w:r>
        <w:rPr>
          <w:rFonts w:ascii="Garamond" w:hAnsi="Garamond"/>
          <w:color w:val="000000" w:themeColor="text1"/>
        </w:rPr>
        <w:t>efficacité devait s</w:t>
      </w:r>
      <w:r w:rsidR="00F86CA7">
        <w:rPr>
          <w:rFonts w:ascii="Garamond" w:hAnsi="Garamond"/>
          <w:color w:val="000000" w:themeColor="text1"/>
        </w:rPr>
        <w:t>’</w:t>
      </w:r>
      <w:r>
        <w:rPr>
          <w:rFonts w:ascii="Garamond" w:hAnsi="Garamond"/>
          <w:color w:val="000000" w:themeColor="text1"/>
        </w:rPr>
        <w:t xml:space="preserve">apprécier à la lumière de leurs impacts sur le volume des émissions de gaz à effet de serre effectivement constaté depuis le prononcé du jugement ; </w:t>
      </w:r>
    </w:p>
    <w:p w14:paraId="23456740" w14:textId="77777777" w:rsidR="001D20B6" w:rsidRDefault="001D20B6" w:rsidP="001D20B6">
      <w:pPr>
        <w:pStyle w:val="Paragraphedeliste"/>
        <w:tabs>
          <w:tab w:val="left" w:pos="6440"/>
        </w:tabs>
        <w:spacing w:line="252" w:lineRule="auto"/>
        <w:ind w:left="567"/>
        <w:jc w:val="both"/>
        <w:rPr>
          <w:rFonts w:ascii="Garamond" w:hAnsi="Garamond"/>
          <w:color w:val="000000" w:themeColor="text1"/>
        </w:rPr>
      </w:pPr>
    </w:p>
    <w:p w14:paraId="141E9E79" w14:textId="565F5681" w:rsidR="001D20B6" w:rsidRPr="001D20B6" w:rsidRDefault="001D20B6" w:rsidP="001D20B6">
      <w:pPr>
        <w:pStyle w:val="Paragraphedeliste"/>
        <w:numPr>
          <w:ilvl w:val="0"/>
          <w:numId w:val="37"/>
        </w:numPr>
        <w:tabs>
          <w:tab w:val="left" w:pos="6440"/>
        </w:tabs>
        <w:spacing w:line="252" w:lineRule="auto"/>
        <w:ind w:left="567"/>
        <w:jc w:val="both"/>
        <w:rPr>
          <w:rFonts w:ascii="Garamond" w:hAnsi="Garamond"/>
          <w:color w:val="000000" w:themeColor="text1"/>
        </w:rPr>
      </w:pPr>
      <w:r>
        <w:rPr>
          <w:rFonts w:ascii="Garamond" w:hAnsi="Garamond"/>
          <w:color w:val="000000" w:themeColor="text1"/>
        </w:rPr>
        <w:t>des mesures préventives, destinées à mettre un terme à la carence constatée par le Tribunal dans la mise en œuvre, par l</w:t>
      </w:r>
      <w:r w:rsidR="00F86CA7">
        <w:rPr>
          <w:rFonts w:ascii="Garamond" w:hAnsi="Garamond"/>
          <w:color w:val="000000" w:themeColor="text1"/>
        </w:rPr>
        <w:t>’</w:t>
      </w:r>
      <w:r>
        <w:rPr>
          <w:rFonts w:ascii="Garamond" w:hAnsi="Garamond"/>
          <w:color w:val="000000" w:themeColor="text1"/>
        </w:rPr>
        <w:t xml:space="preserve">État, de son obligation générale de lutte contre le changement climatique. </w:t>
      </w:r>
    </w:p>
    <w:p w14:paraId="69D40074" w14:textId="77777777" w:rsidR="001D20B6" w:rsidRDefault="001D20B6" w:rsidP="001D20B6">
      <w:pPr>
        <w:spacing w:line="252" w:lineRule="auto"/>
        <w:jc w:val="both"/>
        <w:rPr>
          <w:rFonts w:ascii="Garamond" w:hAnsi="Garamond"/>
        </w:rPr>
      </w:pPr>
    </w:p>
    <w:p w14:paraId="2735677D" w14:textId="6166AC17" w:rsidR="00A76C93" w:rsidRDefault="00A76C93" w:rsidP="001D20B6">
      <w:pPr>
        <w:spacing w:line="252" w:lineRule="auto"/>
        <w:jc w:val="both"/>
        <w:rPr>
          <w:rFonts w:ascii="Garamond" w:hAnsi="Garamond"/>
        </w:rPr>
      </w:pPr>
      <w:r>
        <w:rPr>
          <w:rFonts w:ascii="Garamond" w:hAnsi="Garamond"/>
        </w:rPr>
        <w:t xml:space="preserve">En outre, ces mesures devaient non seulement avoir été adoptées, mais également avoir produit leurs effets, avant le 31 décembre 2022. </w:t>
      </w:r>
    </w:p>
    <w:p w14:paraId="2F2E87E8" w14:textId="2E8F0B0A" w:rsidR="00A76C93" w:rsidRDefault="00A76C93" w:rsidP="001D20B6">
      <w:pPr>
        <w:spacing w:line="252" w:lineRule="auto"/>
        <w:jc w:val="both"/>
        <w:rPr>
          <w:rFonts w:ascii="Garamond" w:hAnsi="Garamond"/>
        </w:rPr>
      </w:pPr>
    </w:p>
    <w:p w14:paraId="052242E1" w14:textId="77777777" w:rsidR="001D20B6" w:rsidRPr="00F52A38" w:rsidRDefault="001D20B6" w:rsidP="001D20B6">
      <w:pPr>
        <w:numPr>
          <w:ilvl w:val="0"/>
          <w:numId w:val="1"/>
        </w:numPr>
        <w:spacing w:line="252" w:lineRule="auto"/>
        <w:ind w:left="0" w:firstLine="0"/>
        <w:jc w:val="both"/>
        <w:rPr>
          <w:rFonts w:ascii="Garamond" w:hAnsi="Garamond"/>
          <w:color w:val="000000" w:themeColor="text1"/>
        </w:rPr>
      </w:pPr>
    </w:p>
    <w:p w14:paraId="0E6C51F6" w14:textId="77777777" w:rsidR="001D20B6" w:rsidRDefault="001D20B6" w:rsidP="001D20B6">
      <w:pPr>
        <w:tabs>
          <w:tab w:val="left" w:pos="6440"/>
        </w:tabs>
        <w:spacing w:line="252" w:lineRule="auto"/>
        <w:jc w:val="both"/>
        <w:rPr>
          <w:rFonts w:ascii="Garamond" w:hAnsi="Garamond"/>
          <w:color w:val="000000" w:themeColor="text1"/>
        </w:rPr>
      </w:pPr>
    </w:p>
    <w:p w14:paraId="3C610E21" w14:textId="01041296" w:rsidR="001D20B6" w:rsidRDefault="001D20B6" w:rsidP="001C3EA9">
      <w:pPr>
        <w:tabs>
          <w:tab w:val="left" w:pos="6440"/>
        </w:tabs>
        <w:spacing w:line="252" w:lineRule="auto"/>
        <w:jc w:val="both"/>
        <w:rPr>
          <w:rFonts w:ascii="Garamond" w:hAnsi="Garamond"/>
          <w:color w:val="000000" w:themeColor="text1"/>
        </w:rPr>
      </w:pPr>
      <w:r>
        <w:rPr>
          <w:rFonts w:ascii="Garamond" w:hAnsi="Garamond"/>
          <w:color w:val="000000" w:themeColor="text1"/>
        </w:rPr>
        <w:t>Dans ces conditions, la vérification de la bonne exécution de l</w:t>
      </w:r>
      <w:r w:rsidR="00F86CA7">
        <w:rPr>
          <w:rFonts w:ascii="Garamond" w:hAnsi="Garamond"/>
          <w:color w:val="000000" w:themeColor="text1"/>
        </w:rPr>
        <w:t>’</w:t>
      </w:r>
      <w:r>
        <w:rPr>
          <w:rFonts w:ascii="Garamond" w:hAnsi="Garamond"/>
          <w:color w:val="000000" w:themeColor="text1"/>
        </w:rPr>
        <w:t>injonction – et, par suite, du jugement du 14 octobre 2021 – doit s</w:t>
      </w:r>
      <w:r w:rsidR="00F86CA7">
        <w:rPr>
          <w:rFonts w:ascii="Garamond" w:hAnsi="Garamond"/>
          <w:color w:val="000000" w:themeColor="text1"/>
        </w:rPr>
        <w:t>’</w:t>
      </w:r>
      <w:r>
        <w:rPr>
          <w:rFonts w:ascii="Garamond" w:hAnsi="Garamond"/>
          <w:color w:val="000000" w:themeColor="text1"/>
        </w:rPr>
        <w:t xml:space="preserve">opérer en </w:t>
      </w:r>
      <w:r w:rsidR="00A76C93">
        <w:rPr>
          <w:rFonts w:ascii="Garamond" w:hAnsi="Garamond"/>
          <w:color w:val="000000" w:themeColor="text1"/>
        </w:rPr>
        <w:t>trois</w:t>
      </w:r>
      <w:r>
        <w:rPr>
          <w:rFonts w:ascii="Garamond" w:hAnsi="Garamond"/>
          <w:color w:val="000000" w:themeColor="text1"/>
        </w:rPr>
        <w:t xml:space="preserve"> temps. </w:t>
      </w:r>
    </w:p>
    <w:p w14:paraId="7CEAB86E" w14:textId="77777777" w:rsidR="001D20B6" w:rsidRDefault="001D20B6" w:rsidP="001C3EA9">
      <w:pPr>
        <w:tabs>
          <w:tab w:val="left" w:pos="6440"/>
        </w:tabs>
        <w:spacing w:line="252" w:lineRule="auto"/>
        <w:jc w:val="both"/>
        <w:rPr>
          <w:rFonts w:ascii="Garamond" w:hAnsi="Garamond"/>
          <w:color w:val="000000" w:themeColor="text1"/>
        </w:rPr>
      </w:pPr>
    </w:p>
    <w:p w14:paraId="4EE3C3AA" w14:textId="653648D6" w:rsidR="00D534AB" w:rsidRP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(i) </w:t>
      </w:r>
      <w:r w:rsidR="00D534AB" w:rsidRPr="00A76C93">
        <w:rPr>
          <w:rFonts w:ascii="Garamond" w:hAnsi="Garamond"/>
          <w:color w:val="000000" w:themeColor="text1"/>
        </w:rPr>
        <w:t>Elle suppose, d</w:t>
      </w:r>
      <w:r w:rsidR="00F86CA7">
        <w:rPr>
          <w:rFonts w:ascii="Garamond" w:hAnsi="Garamond"/>
          <w:color w:val="000000" w:themeColor="text1"/>
        </w:rPr>
        <w:t>’</w:t>
      </w:r>
      <w:r w:rsidR="00D534AB" w:rsidRPr="00A76C93">
        <w:rPr>
          <w:rFonts w:ascii="Garamond" w:hAnsi="Garamond"/>
          <w:color w:val="000000" w:themeColor="text1"/>
        </w:rPr>
        <w:t>abord, de procéder à l</w:t>
      </w:r>
      <w:r w:rsidR="00F86CA7">
        <w:rPr>
          <w:rFonts w:ascii="Garamond" w:hAnsi="Garamond"/>
          <w:color w:val="000000" w:themeColor="text1"/>
        </w:rPr>
        <w:t>’</w:t>
      </w:r>
      <w:r w:rsidR="00D534AB" w:rsidRPr="00A76C93">
        <w:rPr>
          <w:rFonts w:ascii="Garamond" w:hAnsi="Garamond"/>
          <w:color w:val="000000" w:themeColor="text1"/>
        </w:rPr>
        <w:t>examen des données d</w:t>
      </w:r>
      <w:r w:rsidR="00F86CA7">
        <w:rPr>
          <w:rFonts w:ascii="Garamond" w:hAnsi="Garamond"/>
          <w:color w:val="000000" w:themeColor="text1"/>
        </w:rPr>
        <w:t>’</w:t>
      </w:r>
      <w:r w:rsidR="00D534AB" w:rsidRPr="00A76C93">
        <w:rPr>
          <w:rFonts w:ascii="Garamond" w:hAnsi="Garamond"/>
          <w:color w:val="000000" w:themeColor="text1"/>
        </w:rPr>
        <w:t>émissions de gaz à effet de serre sur la période allant du 14 octobre 2021 au 31 décembre 2022, afin de vérifier la persistance, ou la disparition, des émissions excédentaires constitutives du risque d</w:t>
      </w:r>
      <w:r w:rsidR="00F86CA7">
        <w:rPr>
          <w:rFonts w:ascii="Garamond" w:hAnsi="Garamond"/>
          <w:color w:val="000000" w:themeColor="text1"/>
        </w:rPr>
        <w:t>’</w:t>
      </w:r>
      <w:r w:rsidR="00D534AB" w:rsidRPr="00A76C93">
        <w:rPr>
          <w:rFonts w:ascii="Garamond" w:hAnsi="Garamond"/>
          <w:color w:val="000000" w:themeColor="text1"/>
        </w:rPr>
        <w:t xml:space="preserve">aggravation du préjudice écologique. </w:t>
      </w:r>
    </w:p>
    <w:p w14:paraId="3D861D3F" w14:textId="77777777" w:rsidR="00D534AB" w:rsidRDefault="00D534AB" w:rsidP="00A76C93">
      <w:pPr>
        <w:tabs>
          <w:tab w:val="left" w:pos="6440"/>
        </w:tabs>
        <w:spacing w:line="252" w:lineRule="auto"/>
        <w:jc w:val="both"/>
        <w:rPr>
          <w:rFonts w:ascii="Garamond" w:hAnsi="Garamond"/>
          <w:color w:val="000000" w:themeColor="text1"/>
        </w:rPr>
      </w:pPr>
    </w:p>
    <w:p w14:paraId="02DF6409" w14:textId="1EA7058C" w:rsidR="00D534AB" w:rsidRP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(ii) </w:t>
      </w:r>
      <w:r w:rsidR="00D534AB" w:rsidRPr="00A76C93">
        <w:rPr>
          <w:rFonts w:ascii="Garamond" w:hAnsi="Garamond"/>
          <w:color w:val="000000" w:themeColor="text1"/>
        </w:rPr>
        <w:t xml:space="preserve">Elle implique, </w:t>
      </w:r>
      <w:r w:rsidR="009910C0">
        <w:rPr>
          <w:rFonts w:ascii="Garamond" w:hAnsi="Garamond"/>
          <w:color w:val="000000" w:themeColor="text1"/>
        </w:rPr>
        <w:t>surtout,</w:t>
      </w:r>
      <w:r w:rsidR="00D534AB" w:rsidRPr="00A76C93">
        <w:rPr>
          <w:rFonts w:ascii="Garamond" w:hAnsi="Garamond"/>
          <w:color w:val="000000" w:themeColor="text1"/>
        </w:rPr>
        <w:t xml:space="preserve"> d</w:t>
      </w:r>
      <w:r w:rsidR="00F86CA7">
        <w:rPr>
          <w:rFonts w:ascii="Garamond" w:hAnsi="Garamond"/>
          <w:color w:val="000000" w:themeColor="text1"/>
        </w:rPr>
        <w:t>’</w:t>
      </w:r>
      <w:r w:rsidR="00D534AB" w:rsidRPr="00A76C93">
        <w:rPr>
          <w:rFonts w:ascii="Garamond" w:hAnsi="Garamond"/>
          <w:color w:val="000000" w:themeColor="text1"/>
        </w:rPr>
        <w:t>apprécier</w:t>
      </w:r>
      <w:r w:rsidRPr="00A76C93">
        <w:rPr>
          <w:rFonts w:ascii="Garamond" w:hAnsi="Garamond"/>
          <w:color w:val="000000" w:themeColor="text1"/>
        </w:rPr>
        <w:t xml:space="preserve"> </w:t>
      </w:r>
      <w:r w:rsidR="00D534AB" w:rsidRPr="00A76C93">
        <w:rPr>
          <w:rFonts w:ascii="Garamond" w:hAnsi="Garamond"/>
          <w:color w:val="000000" w:themeColor="text1"/>
        </w:rPr>
        <w:t xml:space="preserve">si des mesures </w:t>
      </w:r>
      <w:r w:rsidR="009910C0">
        <w:rPr>
          <w:rFonts w:ascii="Garamond" w:hAnsi="Garamond"/>
          <w:color w:val="000000" w:themeColor="text1"/>
        </w:rPr>
        <w:t>spécifiques</w:t>
      </w:r>
      <w:r w:rsidR="00D534AB" w:rsidRPr="00A76C93">
        <w:rPr>
          <w:rFonts w:ascii="Garamond" w:hAnsi="Garamond"/>
          <w:color w:val="000000" w:themeColor="text1"/>
        </w:rPr>
        <w:t xml:space="preserve"> ont été adoptées par l</w:t>
      </w:r>
      <w:r w:rsidR="00F86CA7">
        <w:rPr>
          <w:rFonts w:ascii="Garamond" w:hAnsi="Garamond"/>
          <w:color w:val="000000" w:themeColor="text1"/>
        </w:rPr>
        <w:t>’</w:t>
      </w:r>
      <w:r w:rsidR="00D534AB" w:rsidRPr="00A76C93">
        <w:rPr>
          <w:rFonts w:ascii="Garamond" w:hAnsi="Garamond"/>
          <w:color w:val="000000" w:themeColor="text1"/>
        </w:rPr>
        <w:t>État pour prendre en considération</w:t>
      </w:r>
      <w:r w:rsidR="009910C0">
        <w:rPr>
          <w:rFonts w:ascii="Garamond" w:hAnsi="Garamond"/>
          <w:color w:val="000000" w:themeColor="text1"/>
        </w:rPr>
        <w:t xml:space="preserve"> </w:t>
      </w:r>
      <w:r w:rsidR="00D534AB" w:rsidRPr="00A76C93">
        <w:rPr>
          <w:rFonts w:ascii="Garamond" w:hAnsi="Garamond"/>
          <w:color w:val="000000" w:themeColor="text1"/>
        </w:rPr>
        <w:t>l</w:t>
      </w:r>
      <w:r w:rsidR="00F86CA7">
        <w:rPr>
          <w:rFonts w:ascii="Garamond" w:hAnsi="Garamond"/>
          <w:color w:val="000000" w:themeColor="text1"/>
        </w:rPr>
        <w:t>’</w:t>
      </w:r>
      <w:r w:rsidR="00D534AB" w:rsidRPr="00A76C93">
        <w:rPr>
          <w:rFonts w:ascii="Garamond" w:hAnsi="Garamond"/>
          <w:color w:val="000000" w:themeColor="text1"/>
        </w:rPr>
        <w:t>effort supplémentaire de réduction des émissions de gaz à effet de serre</w:t>
      </w:r>
      <w:r w:rsidR="009910C0">
        <w:rPr>
          <w:rFonts w:ascii="Garamond" w:hAnsi="Garamond"/>
          <w:color w:val="000000" w:themeColor="text1"/>
        </w:rPr>
        <w:t xml:space="preserve"> </w:t>
      </w:r>
      <w:r w:rsidR="00D534AB" w:rsidRPr="00A76C93">
        <w:rPr>
          <w:rFonts w:ascii="Garamond" w:hAnsi="Garamond"/>
          <w:color w:val="000000" w:themeColor="text1"/>
        </w:rPr>
        <w:t>imposé par le jugement du 14 octobre 2021</w:t>
      </w:r>
      <w:r w:rsidR="009910C0">
        <w:rPr>
          <w:rFonts w:ascii="Garamond" w:hAnsi="Garamond"/>
          <w:color w:val="000000" w:themeColor="text1"/>
        </w:rPr>
        <w:t xml:space="preserve">, et procéder à la réparation du préjudice écologique ou prévenir son aggravation. </w:t>
      </w:r>
    </w:p>
    <w:p w14:paraId="5078E339" w14:textId="77777777" w:rsidR="00D534AB" w:rsidRDefault="00D534AB" w:rsidP="00A76C93">
      <w:pPr>
        <w:tabs>
          <w:tab w:val="left" w:pos="6440"/>
        </w:tabs>
        <w:spacing w:line="252" w:lineRule="auto"/>
        <w:jc w:val="both"/>
        <w:rPr>
          <w:rFonts w:ascii="Garamond" w:hAnsi="Garamond"/>
          <w:color w:val="000000" w:themeColor="text1"/>
        </w:rPr>
      </w:pPr>
    </w:p>
    <w:p w14:paraId="11DA2EBD" w14:textId="2525DCC4" w:rsid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(iii) </w:t>
      </w:r>
      <w:r w:rsidR="009910C0">
        <w:rPr>
          <w:rFonts w:ascii="Garamond" w:hAnsi="Garamond"/>
          <w:color w:val="000000" w:themeColor="text1"/>
        </w:rPr>
        <w:t>En toute hypothèse</w:t>
      </w:r>
      <w:r w:rsidRPr="00A76C93">
        <w:rPr>
          <w:rFonts w:ascii="Garamond" w:hAnsi="Garamond"/>
          <w:color w:val="000000" w:themeColor="text1"/>
        </w:rPr>
        <w:t>, elle exige de prendre en considération les « causes étrangères » qui pourraient expliquer les réductions d</w:t>
      </w:r>
      <w:r w:rsidR="00F86CA7">
        <w:rPr>
          <w:rFonts w:ascii="Garamond" w:hAnsi="Garamond"/>
          <w:color w:val="000000" w:themeColor="text1"/>
        </w:rPr>
        <w:t>’</w:t>
      </w:r>
      <w:r w:rsidRPr="00A76C93">
        <w:rPr>
          <w:rFonts w:ascii="Garamond" w:hAnsi="Garamond"/>
          <w:color w:val="000000" w:themeColor="text1"/>
        </w:rPr>
        <w:t>émissions constatées pour, le cas échéant, ne retenir que les réductions imputables à l</w:t>
      </w:r>
      <w:r w:rsidR="00F86CA7">
        <w:rPr>
          <w:rFonts w:ascii="Garamond" w:hAnsi="Garamond"/>
          <w:color w:val="000000" w:themeColor="text1"/>
        </w:rPr>
        <w:t>’</w:t>
      </w:r>
      <w:r w:rsidRPr="00A76C93">
        <w:rPr>
          <w:rFonts w:ascii="Garamond" w:hAnsi="Garamond"/>
          <w:color w:val="000000" w:themeColor="text1"/>
        </w:rPr>
        <w:t>action de l</w:t>
      </w:r>
      <w:r w:rsidR="00F86CA7">
        <w:rPr>
          <w:rFonts w:ascii="Garamond" w:hAnsi="Garamond"/>
          <w:color w:val="000000" w:themeColor="text1"/>
        </w:rPr>
        <w:t>’</w:t>
      </w:r>
      <w:r w:rsidRPr="00A76C93">
        <w:rPr>
          <w:rFonts w:ascii="Garamond" w:hAnsi="Garamond"/>
          <w:color w:val="000000" w:themeColor="text1"/>
        </w:rPr>
        <w:t xml:space="preserve">État. </w:t>
      </w:r>
    </w:p>
    <w:p w14:paraId="7DC1D29C" w14:textId="77777777" w:rsidR="00A76C93" w:rsidRDefault="00A76C93" w:rsidP="00A76C93">
      <w:pPr>
        <w:tabs>
          <w:tab w:val="left" w:pos="6440"/>
        </w:tabs>
        <w:spacing w:line="252" w:lineRule="auto"/>
        <w:jc w:val="both"/>
        <w:rPr>
          <w:rFonts w:ascii="Garamond" w:hAnsi="Garamond"/>
          <w:color w:val="000000" w:themeColor="text1"/>
        </w:rPr>
      </w:pPr>
    </w:p>
    <w:p w14:paraId="070897BC" w14:textId="648CBFA9"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À défaut</w:t>
      </w:r>
      <w:r w:rsidR="009910C0">
        <w:rPr>
          <w:rFonts w:ascii="Garamond" w:hAnsi="Garamond"/>
          <w:color w:val="000000" w:themeColor="text1"/>
        </w:rPr>
        <w:t xml:space="preserve"> de prendre en compte ces trois éléments cumulatifs</w:t>
      </w:r>
      <w:r w:rsidRPr="00A76C93">
        <w:rPr>
          <w:rFonts w:ascii="Garamond" w:hAnsi="Garamond"/>
          <w:color w:val="000000" w:themeColor="text1"/>
        </w:rPr>
        <w:t>, le contrôle de l</w:t>
      </w:r>
      <w:r w:rsidR="00F86CA7">
        <w:rPr>
          <w:rFonts w:ascii="Garamond" w:hAnsi="Garamond"/>
          <w:color w:val="000000" w:themeColor="text1"/>
        </w:rPr>
        <w:t>’</w:t>
      </w:r>
      <w:r w:rsidRPr="00A76C93">
        <w:rPr>
          <w:rFonts w:ascii="Garamond" w:hAnsi="Garamond"/>
          <w:color w:val="000000" w:themeColor="text1"/>
        </w:rPr>
        <w:t xml:space="preserve">exécution du jugement serait </w:t>
      </w:r>
      <w:r>
        <w:rPr>
          <w:rFonts w:ascii="Garamond" w:hAnsi="Garamond"/>
          <w:color w:val="000000" w:themeColor="text1"/>
        </w:rPr>
        <w:t xml:space="preserve">nécessairement </w:t>
      </w:r>
      <w:r w:rsidRPr="00A76C93">
        <w:rPr>
          <w:rFonts w:ascii="Garamond" w:hAnsi="Garamond"/>
          <w:color w:val="000000" w:themeColor="text1"/>
        </w:rPr>
        <w:t>incomplet</w:t>
      </w:r>
      <w:r>
        <w:rPr>
          <w:rFonts w:ascii="Garamond" w:hAnsi="Garamond"/>
          <w:color w:val="000000" w:themeColor="text1"/>
        </w:rPr>
        <w:t> : il ignorerait l</w:t>
      </w:r>
      <w:r w:rsidR="00F86CA7">
        <w:rPr>
          <w:rFonts w:ascii="Garamond" w:hAnsi="Garamond"/>
          <w:color w:val="000000" w:themeColor="text1"/>
        </w:rPr>
        <w:t>’</w:t>
      </w:r>
      <w:r>
        <w:rPr>
          <w:rFonts w:ascii="Garamond" w:hAnsi="Garamond"/>
          <w:color w:val="000000" w:themeColor="text1"/>
        </w:rPr>
        <w:t>injonction faite à l</w:t>
      </w:r>
      <w:r w:rsidR="00F86CA7">
        <w:rPr>
          <w:rFonts w:ascii="Garamond" w:hAnsi="Garamond"/>
          <w:color w:val="000000" w:themeColor="text1"/>
        </w:rPr>
        <w:t>’</w:t>
      </w:r>
      <w:r>
        <w:rPr>
          <w:rFonts w:ascii="Garamond" w:hAnsi="Garamond"/>
          <w:color w:val="000000" w:themeColor="text1"/>
        </w:rPr>
        <w:t>État de remédier aux causes du préjudice, pour ne tenir compte que de la cessation des effets du dommage, et ne permettrait pas de s</w:t>
      </w:r>
      <w:r w:rsidR="00F86CA7">
        <w:rPr>
          <w:rFonts w:ascii="Garamond" w:hAnsi="Garamond"/>
          <w:color w:val="000000" w:themeColor="text1"/>
        </w:rPr>
        <w:t>’</w:t>
      </w:r>
      <w:r>
        <w:rPr>
          <w:rFonts w:ascii="Garamond" w:hAnsi="Garamond"/>
          <w:color w:val="000000" w:themeColor="text1"/>
        </w:rPr>
        <w:t>assurer de l</w:t>
      </w:r>
      <w:r w:rsidR="00F86CA7">
        <w:rPr>
          <w:rFonts w:ascii="Garamond" w:hAnsi="Garamond"/>
          <w:color w:val="000000" w:themeColor="text1"/>
        </w:rPr>
        <w:t>’</w:t>
      </w:r>
      <w:r>
        <w:rPr>
          <w:rFonts w:ascii="Garamond" w:hAnsi="Garamond"/>
          <w:color w:val="000000" w:themeColor="text1"/>
        </w:rPr>
        <w:t>implication de l</w:t>
      </w:r>
      <w:r w:rsidR="00F86CA7">
        <w:rPr>
          <w:rFonts w:ascii="Garamond" w:hAnsi="Garamond"/>
          <w:color w:val="000000" w:themeColor="text1"/>
        </w:rPr>
        <w:t>’</w:t>
      </w:r>
      <w:r>
        <w:rPr>
          <w:rFonts w:ascii="Garamond" w:hAnsi="Garamond"/>
          <w:color w:val="000000" w:themeColor="text1"/>
        </w:rPr>
        <w:t xml:space="preserve">auteur du dommage dans cette réparation.  </w:t>
      </w:r>
    </w:p>
    <w:p w14:paraId="276E9943" w14:textId="6FB1AD5C" w:rsidR="00A76C93" w:rsidRPr="00A76C93" w:rsidRDefault="00A76C93" w:rsidP="00A76C93">
      <w:pPr>
        <w:tabs>
          <w:tab w:val="left" w:pos="6440"/>
        </w:tabs>
        <w:spacing w:line="252" w:lineRule="auto"/>
        <w:jc w:val="both"/>
        <w:rPr>
          <w:rFonts w:ascii="Garamond" w:hAnsi="Garamond"/>
          <w:color w:val="000000" w:themeColor="text1"/>
        </w:rPr>
      </w:pPr>
    </w:p>
    <w:p w14:paraId="079D0669" w14:textId="53A58B17" w:rsid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Ainsi, une simple compensation, résultant d</w:t>
      </w:r>
      <w:r w:rsidR="00F86CA7">
        <w:rPr>
          <w:rFonts w:ascii="Garamond" w:hAnsi="Garamond"/>
          <w:color w:val="000000" w:themeColor="text1"/>
        </w:rPr>
        <w:t>’</w:t>
      </w:r>
      <w:r>
        <w:rPr>
          <w:rFonts w:ascii="Garamond" w:hAnsi="Garamond"/>
          <w:color w:val="000000" w:themeColor="text1"/>
        </w:rPr>
        <w:t>une baisse d</w:t>
      </w:r>
      <w:r w:rsidR="00F86CA7">
        <w:rPr>
          <w:rFonts w:ascii="Garamond" w:hAnsi="Garamond"/>
          <w:color w:val="000000" w:themeColor="text1"/>
        </w:rPr>
        <w:t>’</w:t>
      </w:r>
      <w:r>
        <w:rPr>
          <w:rFonts w:ascii="Garamond" w:hAnsi="Garamond"/>
          <w:color w:val="000000" w:themeColor="text1"/>
        </w:rPr>
        <w:t>émissions purement conjoncturelle, et ne reposant pas sur des mesures sectorielles concrètes, spécifiquement adoptées par l</w:t>
      </w:r>
      <w:r w:rsidR="00F86CA7">
        <w:rPr>
          <w:rFonts w:ascii="Garamond" w:hAnsi="Garamond"/>
          <w:color w:val="000000" w:themeColor="text1"/>
        </w:rPr>
        <w:t>’</w:t>
      </w:r>
      <w:r>
        <w:rPr>
          <w:rFonts w:ascii="Garamond" w:hAnsi="Garamond"/>
          <w:color w:val="000000" w:themeColor="text1"/>
        </w:rPr>
        <w:t>État pour réparer le préjudice écologique et prévenir son aggravation, ne permettrait pas de considérer que l</w:t>
      </w:r>
      <w:r w:rsidR="00F86CA7">
        <w:rPr>
          <w:rFonts w:ascii="Garamond" w:hAnsi="Garamond"/>
          <w:color w:val="000000" w:themeColor="text1"/>
        </w:rPr>
        <w:t>’</w:t>
      </w:r>
      <w:r>
        <w:rPr>
          <w:rFonts w:ascii="Garamond" w:hAnsi="Garamond"/>
          <w:color w:val="000000" w:themeColor="text1"/>
        </w:rPr>
        <w:t xml:space="preserve">injonction a bien été exécutée. </w:t>
      </w:r>
    </w:p>
    <w:p w14:paraId="117F0DD9" w14:textId="77777777" w:rsidR="00A76C93" w:rsidRDefault="00A76C93" w:rsidP="001C3EA9">
      <w:pPr>
        <w:tabs>
          <w:tab w:val="left" w:pos="6440"/>
        </w:tabs>
        <w:spacing w:line="252" w:lineRule="auto"/>
        <w:jc w:val="both"/>
        <w:rPr>
          <w:rFonts w:ascii="Garamond" w:hAnsi="Garamond"/>
          <w:color w:val="000000" w:themeColor="text1"/>
        </w:rPr>
      </w:pPr>
    </w:p>
    <w:p w14:paraId="1F7CD578" w14:textId="34608C11" w:rsidR="00A76C93" w:rsidRDefault="00A76C93" w:rsidP="001C3EA9">
      <w:pPr>
        <w:tabs>
          <w:tab w:val="left" w:pos="6440"/>
        </w:tabs>
        <w:spacing w:line="252" w:lineRule="auto"/>
        <w:jc w:val="both"/>
        <w:rPr>
          <w:rFonts w:ascii="Garamond" w:hAnsi="Garamond"/>
          <w:color w:val="000000" w:themeColor="text1"/>
        </w:rPr>
      </w:pPr>
      <w:r>
        <w:rPr>
          <w:rFonts w:ascii="Garamond" w:hAnsi="Garamond"/>
          <w:color w:val="000000" w:themeColor="text1"/>
        </w:rPr>
        <w:lastRenderedPageBreak/>
        <w:t xml:space="preserve">En effet, cela </w:t>
      </w:r>
      <w:r w:rsidRPr="00A76C93">
        <w:rPr>
          <w:rFonts w:ascii="Garamond" w:hAnsi="Garamond"/>
          <w:color w:val="000000" w:themeColor="text1"/>
        </w:rPr>
        <w:t>reviendrait à considérer qu</w:t>
      </w:r>
      <w:r w:rsidR="00F86CA7">
        <w:rPr>
          <w:rFonts w:ascii="Garamond" w:hAnsi="Garamond"/>
          <w:color w:val="000000" w:themeColor="text1"/>
        </w:rPr>
        <w:t>’</w:t>
      </w:r>
      <w:r w:rsidRPr="00A76C93">
        <w:rPr>
          <w:rFonts w:ascii="Garamond" w:hAnsi="Garamond"/>
          <w:color w:val="000000" w:themeColor="text1"/>
        </w:rPr>
        <w:t>un dommage causé par l</w:t>
      </w:r>
      <w:r w:rsidR="00F86CA7">
        <w:rPr>
          <w:rFonts w:ascii="Garamond" w:hAnsi="Garamond"/>
          <w:color w:val="000000" w:themeColor="text1"/>
        </w:rPr>
        <w:t>’</w:t>
      </w:r>
      <w:r w:rsidRPr="00A76C93">
        <w:rPr>
          <w:rFonts w:ascii="Garamond" w:hAnsi="Garamond"/>
          <w:color w:val="000000" w:themeColor="text1"/>
        </w:rPr>
        <w:t xml:space="preserve">État puisse être réparé du </w:t>
      </w:r>
      <w:r>
        <w:rPr>
          <w:rFonts w:ascii="Garamond" w:hAnsi="Garamond"/>
          <w:color w:val="000000" w:themeColor="text1"/>
        </w:rPr>
        <w:t>f</w:t>
      </w:r>
      <w:r w:rsidRPr="00A76C93">
        <w:rPr>
          <w:rFonts w:ascii="Garamond" w:hAnsi="Garamond"/>
          <w:color w:val="000000" w:themeColor="text1"/>
        </w:rPr>
        <w:t>ait d</w:t>
      </w:r>
      <w:r w:rsidR="00F86CA7">
        <w:rPr>
          <w:rFonts w:ascii="Garamond" w:hAnsi="Garamond"/>
          <w:color w:val="000000" w:themeColor="text1"/>
        </w:rPr>
        <w:t>’</w:t>
      </w:r>
      <w:r w:rsidRPr="00A76C93">
        <w:rPr>
          <w:rFonts w:ascii="Garamond" w:hAnsi="Garamond"/>
          <w:color w:val="000000" w:themeColor="text1"/>
        </w:rPr>
        <w:t xml:space="preserve">évènements extérieurs </w:t>
      </w:r>
      <w:r>
        <w:rPr>
          <w:rFonts w:ascii="Garamond" w:hAnsi="Garamond"/>
          <w:color w:val="000000" w:themeColor="text1"/>
        </w:rPr>
        <w:t>à l</w:t>
      </w:r>
      <w:r w:rsidR="00F86CA7">
        <w:rPr>
          <w:rFonts w:ascii="Garamond" w:hAnsi="Garamond"/>
          <w:color w:val="000000" w:themeColor="text1"/>
        </w:rPr>
        <w:t>’</w:t>
      </w:r>
      <w:r>
        <w:rPr>
          <w:rFonts w:ascii="Garamond" w:hAnsi="Garamond"/>
          <w:color w:val="000000" w:themeColor="text1"/>
        </w:rPr>
        <w:t xml:space="preserve">État, </w:t>
      </w:r>
      <w:r w:rsidRPr="00A76C93">
        <w:rPr>
          <w:rFonts w:ascii="Garamond" w:hAnsi="Garamond"/>
          <w:color w:val="000000" w:themeColor="text1"/>
        </w:rPr>
        <w:t>sans que celui-ci n</w:t>
      </w:r>
      <w:r w:rsidR="00F86CA7">
        <w:rPr>
          <w:rFonts w:ascii="Garamond" w:hAnsi="Garamond"/>
          <w:color w:val="000000" w:themeColor="text1"/>
        </w:rPr>
        <w:t>’</w:t>
      </w:r>
      <w:r w:rsidRPr="00A76C93">
        <w:rPr>
          <w:rFonts w:ascii="Garamond" w:hAnsi="Garamond"/>
          <w:color w:val="000000" w:themeColor="text1"/>
        </w:rPr>
        <w:t>ait à rendre de comptes sur les mesures effectivement adoptées pour réparer ledit dommage</w:t>
      </w:r>
      <w:r>
        <w:rPr>
          <w:rFonts w:ascii="Garamond" w:hAnsi="Garamond"/>
          <w:color w:val="000000" w:themeColor="text1"/>
        </w:rPr>
        <w:t xml:space="preserve"> – ce qui, du point de vue des principes qui régissent le droit de la responsabilité pour faute, serait pour le moins contestable. </w:t>
      </w:r>
    </w:p>
    <w:p w14:paraId="2E0E03E8" w14:textId="77777777" w:rsidR="00A76C93" w:rsidRDefault="00A76C93" w:rsidP="00A76C93">
      <w:pPr>
        <w:spacing w:line="252" w:lineRule="auto"/>
        <w:jc w:val="both"/>
        <w:rPr>
          <w:rFonts w:ascii="Garamond" w:hAnsi="Garamond"/>
        </w:rPr>
      </w:pPr>
    </w:p>
    <w:p w14:paraId="6AB8B92A" w14:textId="77777777" w:rsidR="00A76C93" w:rsidRPr="00F52A38" w:rsidRDefault="00A76C93" w:rsidP="00A76C93">
      <w:pPr>
        <w:numPr>
          <w:ilvl w:val="0"/>
          <w:numId w:val="1"/>
        </w:numPr>
        <w:spacing w:line="252" w:lineRule="auto"/>
        <w:ind w:left="0" w:firstLine="0"/>
        <w:jc w:val="both"/>
        <w:rPr>
          <w:rFonts w:ascii="Garamond" w:hAnsi="Garamond"/>
          <w:color w:val="000000" w:themeColor="text1"/>
        </w:rPr>
      </w:pPr>
    </w:p>
    <w:p w14:paraId="67E3B4F9" w14:textId="77777777" w:rsidR="00A76C93" w:rsidRDefault="00A76C93" w:rsidP="001C3EA9">
      <w:pPr>
        <w:tabs>
          <w:tab w:val="left" w:pos="6440"/>
        </w:tabs>
        <w:spacing w:line="252" w:lineRule="auto"/>
        <w:jc w:val="both"/>
        <w:rPr>
          <w:rFonts w:ascii="Garamond" w:hAnsi="Garamond"/>
          <w:color w:val="000000" w:themeColor="text1"/>
        </w:rPr>
      </w:pPr>
    </w:p>
    <w:p w14:paraId="6D6CAF67" w14:textId="7ADD1179" w:rsidR="00A76C93" w:rsidRDefault="00A76C93" w:rsidP="001C3EA9">
      <w:pPr>
        <w:tabs>
          <w:tab w:val="left" w:pos="6440"/>
        </w:tabs>
        <w:spacing w:line="252" w:lineRule="auto"/>
        <w:jc w:val="both"/>
        <w:rPr>
          <w:rFonts w:ascii="Garamond" w:hAnsi="Garamond"/>
          <w:color w:val="000000" w:themeColor="text1"/>
        </w:rPr>
      </w:pPr>
      <w:r>
        <w:rPr>
          <w:rFonts w:ascii="Garamond" w:hAnsi="Garamond"/>
          <w:color w:val="000000" w:themeColor="text1"/>
        </w:rPr>
        <w:t>Du reste, cette lecture du jugement du 14 octobre 2021 est conforme aux principes dégagés par le Conseil d</w:t>
      </w:r>
      <w:r w:rsidR="00F86CA7">
        <w:rPr>
          <w:rFonts w:ascii="Garamond" w:hAnsi="Garamond"/>
          <w:color w:val="000000" w:themeColor="text1"/>
        </w:rPr>
        <w:t>’</w:t>
      </w:r>
      <w:r>
        <w:rPr>
          <w:rFonts w:ascii="Garamond" w:hAnsi="Garamond"/>
          <w:color w:val="000000" w:themeColor="text1"/>
        </w:rPr>
        <w:t>État dans sa décision « </w:t>
      </w:r>
      <w:r w:rsidRPr="00A76C93">
        <w:rPr>
          <w:rFonts w:ascii="Garamond" w:hAnsi="Garamond"/>
          <w:i/>
          <w:iCs/>
          <w:color w:val="000000" w:themeColor="text1"/>
        </w:rPr>
        <w:t>Commune de Grande-Synthe</w:t>
      </w:r>
      <w:r>
        <w:rPr>
          <w:rFonts w:ascii="Garamond" w:hAnsi="Garamond"/>
          <w:color w:val="000000" w:themeColor="text1"/>
        </w:rPr>
        <w:t> » du 10 mai 2023, qui précisent l</w:t>
      </w:r>
      <w:r w:rsidR="00F86CA7">
        <w:rPr>
          <w:rFonts w:ascii="Garamond" w:hAnsi="Garamond"/>
          <w:color w:val="000000" w:themeColor="text1"/>
        </w:rPr>
        <w:t>’</w:t>
      </w:r>
      <w:r>
        <w:rPr>
          <w:rFonts w:ascii="Garamond" w:hAnsi="Garamond"/>
          <w:color w:val="000000" w:themeColor="text1"/>
        </w:rPr>
        <w:t>office du juge de l</w:t>
      </w:r>
      <w:r w:rsidR="00F86CA7">
        <w:rPr>
          <w:rFonts w:ascii="Garamond" w:hAnsi="Garamond"/>
          <w:color w:val="000000" w:themeColor="text1"/>
        </w:rPr>
        <w:t>’</w:t>
      </w:r>
      <w:r>
        <w:rPr>
          <w:rFonts w:ascii="Garamond" w:hAnsi="Garamond"/>
          <w:color w:val="000000" w:themeColor="text1"/>
        </w:rPr>
        <w:t xml:space="preserve">exécution en matière climatique. </w:t>
      </w:r>
    </w:p>
    <w:p w14:paraId="7AFCC8B2" w14:textId="25DCC69E" w:rsidR="00A76C93" w:rsidRDefault="00A76C93" w:rsidP="001C3EA9">
      <w:pPr>
        <w:tabs>
          <w:tab w:val="left" w:pos="6440"/>
        </w:tabs>
        <w:spacing w:line="252" w:lineRule="auto"/>
        <w:jc w:val="both"/>
        <w:rPr>
          <w:rFonts w:ascii="Garamond" w:hAnsi="Garamond"/>
          <w:color w:val="000000" w:themeColor="text1"/>
        </w:rPr>
      </w:pPr>
    </w:p>
    <w:p w14:paraId="43BA1ADE" w14:textId="51B98406" w:rsidR="00A76C93" w:rsidRDefault="00A76C93" w:rsidP="001C3EA9">
      <w:pPr>
        <w:tabs>
          <w:tab w:val="left" w:pos="6440"/>
        </w:tabs>
        <w:spacing w:line="252" w:lineRule="auto"/>
        <w:jc w:val="both"/>
        <w:rPr>
          <w:rFonts w:ascii="Garamond" w:hAnsi="Garamond"/>
          <w:color w:val="000000" w:themeColor="text1"/>
        </w:rPr>
      </w:pPr>
      <w:r>
        <w:rPr>
          <w:rFonts w:ascii="Garamond" w:hAnsi="Garamond"/>
          <w:color w:val="000000" w:themeColor="text1"/>
        </w:rPr>
        <w:t>Pour rappel, dans sa précédente décision du 1</w:t>
      </w:r>
      <w:r w:rsidRPr="00A76C93">
        <w:rPr>
          <w:rFonts w:ascii="Garamond" w:hAnsi="Garamond"/>
          <w:color w:val="000000" w:themeColor="text1"/>
          <w:vertAlign w:val="superscript"/>
        </w:rPr>
        <w:t>er</w:t>
      </w:r>
      <w:r>
        <w:rPr>
          <w:rFonts w:ascii="Garamond" w:hAnsi="Garamond"/>
          <w:color w:val="000000" w:themeColor="text1"/>
        </w:rPr>
        <w:t xml:space="preserve"> juillet 2021, </w:t>
      </w:r>
      <w:r w:rsidRPr="00A76C93">
        <w:rPr>
          <w:rFonts w:ascii="Garamond" w:hAnsi="Garamond"/>
          <w:color w:val="000000" w:themeColor="text1"/>
        </w:rPr>
        <w:t>le Conseil d</w:t>
      </w:r>
      <w:r w:rsidR="00F86CA7">
        <w:rPr>
          <w:rFonts w:ascii="Garamond" w:hAnsi="Garamond"/>
          <w:color w:val="000000" w:themeColor="text1"/>
        </w:rPr>
        <w:t>’</w:t>
      </w:r>
      <w:r w:rsidRPr="00A76C93">
        <w:rPr>
          <w:rFonts w:ascii="Garamond" w:hAnsi="Garamond"/>
          <w:color w:val="000000" w:themeColor="text1"/>
        </w:rPr>
        <w:t>État avait enjoint au Gouvernement de prendre, d</w:t>
      </w:r>
      <w:r w:rsidR="00F86CA7">
        <w:rPr>
          <w:rFonts w:ascii="Garamond" w:hAnsi="Garamond"/>
          <w:color w:val="000000" w:themeColor="text1"/>
        </w:rPr>
        <w:t>’</w:t>
      </w:r>
      <w:r w:rsidRPr="00A76C93">
        <w:rPr>
          <w:rFonts w:ascii="Garamond" w:hAnsi="Garamond"/>
          <w:color w:val="000000" w:themeColor="text1"/>
        </w:rPr>
        <w:t>ici le 31 mars 2022, toutes mesures</w:t>
      </w:r>
      <w:r>
        <w:rPr>
          <w:rFonts w:ascii="Garamond" w:hAnsi="Garamond"/>
          <w:color w:val="000000" w:themeColor="text1"/>
        </w:rPr>
        <w:t xml:space="preserve"> utiles</w:t>
      </w:r>
      <w:r w:rsidRPr="00A76C93">
        <w:rPr>
          <w:rFonts w:ascii="Garamond" w:hAnsi="Garamond"/>
          <w:color w:val="000000" w:themeColor="text1"/>
        </w:rPr>
        <w:t xml:space="preserve"> permettant d</w:t>
      </w:r>
      <w:r w:rsidR="00F86CA7">
        <w:rPr>
          <w:rFonts w:ascii="Garamond" w:hAnsi="Garamond"/>
          <w:color w:val="000000" w:themeColor="text1"/>
        </w:rPr>
        <w:t>’</w:t>
      </w:r>
      <w:r w:rsidRPr="00A76C93">
        <w:rPr>
          <w:rFonts w:ascii="Garamond" w:hAnsi="Garamond"/>
          <w:color w:val="000000" w:themeColor="text1"/>
        </w:rPr>
        <w:t>infléchir la courbe des émissions de gaz à effet de serre produites sur le territoire national</w:t>
      </w:r>
      <w:r>
        <w:rPr>
          <w:rFonts w:ascii="Garamond" w:hAnsi="Garamond"/>
          <w:color w:val="000000" w:themeColor="text1"/>
        </w:rPr>
        <w:t xml:space="preserve">, </w:t>
      </w:r>
      <w:r w:rsidRPr="00A76C93">
        <w:rPr>
          <w:rFonts w:ascii="Garamond" w:hAnsi="Garamond"/>
          <w:color w:val="000000" w:themeColor="text1"/>
        </w:rPr>
        <w:t>afin d</w:t>
      </w:r>
      <w:r w:rsidR="00F86CA7">
        <w:rPr>
          <w:rFonts w:ascii="Garamond" w:hAnsi="Garamond"/>
          <w:color w:val="000000" w:themeColor="text1"/>
        </w:rPr>
        <w:t>’</w:t>
      </w:r>
      <w:r w:rsidRPr="00A76C93">
        <w:rPr>
          <w:rFonts w:ascii="Garamond" w:hAnsi="Garamond"/>
          <w:color w:val="000000" w:themeColor="text1"/>
        </w:rPr>
        <w:t>assurer sa compatibilité avec l</w:t>
      </w:r>
      <w:r w:rsidR="00F86CA7">
        <w:rPr>
          <w:rFonts w:ascii="Garamond" w:hAnsi="Garamond"/>
          <w:color w:val="000000" w:themeColor="text1"/>
        </w:rPr>
        <w:t>’</w:t>
      </w:r>
      <w:r w:rsidRPr="00A76C93">
        <w:rPr>
          <w:rFonts w:ascii="Garamond" w:hAnsi="Garamond"/>
          <w:color w:val="000000" w:themeColor="text1"/>
        </w:rPr>
        <w:t xml:space="preserve">objectif de réduction des émissions de </w:t>
      </w:r>
      <w:r w:rsidRPr="00A76C93">
        <w:rPr>
          <w:color w:val="000000" w:themeColor="text1"/>
        </w:rPr>
        <w:t>-</w:t>
      </w:r>
      <w:r>
        <w:rPr>
          <w:rFonts w:ascii="Garamond" w:hAnsi="Garamond"/>
          <w:color w:val="000000" w:themeColor="text1"/>
        </w:rPr>
        <w:t> </w:t>
      </w:r>
      <w:r w:rsidRPr="00A76C93">
        <w:rPr>
          <w:rFonts w:ascii="Garamond" w:hAnsi="Garamond"/>
          <w:color w:val="000000" w:themeColor="text1"/>
        </w:rPr>
        <w:t>40% en 2030 par rapport à leurs niveaux de 1990</w:t>
      </w:r>
      <w:r>
        <w:rPr>
          <w:rFonts w:ascii="Garamond" w:hAnsi="Garamond"/>
          <w:color w:val="000000" w:themeColor="text1"/>
        </w:rPr>
        <w:t xml:space="preserve"> (CE, 1</w:t>
      </w:r>
      <w:r w:rsidRPr="00A76C93">
        <w:rPr>
          <w:rFonts w:ascii="Garamond" w:hAnsi="Garamond"/>
          <w:color w:val="000000" w:themeColor="text1"/>
          <w:vertAlign w:val="superscript"/>
        </w:rPr>
        <w:t>er</w:t>
      </w:r>
      <w:r>
        <w:rPr>
          <w:rFonts w:ascii="Garamond" w:hAnsi="Garamond"/>
          <w:color w:val="000000" w:themeColor="text1"/>
        </w:rPr>
        <w:t xml:space="preserve"> juillet 2021, </w:t>
      </w:r>
      <w:r w:rsidRPr="00A76C93">
        <w:rPr>
          <w:rFonts w:ascii="Garamond" w:hAnsi="Garamond"/>
          <w:i/>
          <w:iCs/>
          <w:color w:val="000000" w:themeColor="text1"/>
        </w:rPr>
        <w:t>Commune de Grande-Synthe</w:t>
      </w:r>
      <w:r>
        <w:rPr>
          <w:rFonts w:ascii="Garamond" w:hAnsi="Garamond"/>
          <w:color w:val="000000" w:themeColor="text1"/>
        </w:rPr>
        <w:t xml:space="preserve">, req. n° 427301, publié au recueil Lebon). </w:t>
      </w:r>
    </w:p>
    <w:p w14:paraId="18463DAA" w14:textId="77777777" w:rsidR="00A76C93" w:rsidRDefault="00A76C93" w:rsidP="001C3EA9">
      <w:pPr>
        <w:tabs>
          <w:tab w:val="left" w:pos="6440"/>
        </w:tabs>
        <w:spacing w:line="252" w:lineRule="auto"/>
        <w:jc w:val="both"/>
        <w:rPr>
          <w:rFonts w:ascii="Garamond" w:hAnsi="Garamond"/>
          <w:color w:val="000000" w:themeColor="text1"/>
        </w:rPr>
      </w:pPr>
    </w:p>
    <w:p w14:paraId="10020247" w14:textId="4DA80993" w:rsidR="00A76C93" w:rsidRDefault="00A76C93" w:rsidP="001C3EA9">
      <w:pPr>
        <w:tabs>
          <w:tab w:val="left" w:pos="6440"/>
        </w:tabs>
        <w:spacing w:line="252" w:lineRule="auto"/>
        <w:jc w:val="both"/>
        <w:rPr>
          <w:rFonts w:ascii="Garamond" w:hAnsi="Garamond"/>
          <w:color w:val="000000" w:themeColor="text1"/>
        </w:rPr>
      </w:pPr>
      <w:r>
        <w:rPr>
          <w:rFonts w:ascii="Garamond" w:hAnsi="Garamond"/>
          <w:color w:val="000000" w:themeColor="text1"/>
        </w:rPr>
        <w:t>Or, pour s</w:t>
      </w:r>
      <w:r w:rsidR="00F86CA7">
        <w:rPr>
          <w:rFonts w:ascii="Garamond" w:hAnsi="Garamond"/>
          <w:color w:val="000000" w:themeColor="text1"/>
        </w:rPr>
        <w:t>’</w:t>
      </w:r>
      <w:r>
        <w:rPr>
          <w:rFonts w:ascii="Garamond" w:hAnsi="Garamond"/>
          <w:color w:val="000000" w:themeColor="text1"/>
        </w:rPr>
        <w:t>assurer de l</w:t>
      </w:r>
      <w:r w:rsidR="00F86CA7">
        <w:rPr>
          <w:rFonts w:ascii="Garamond" w:hAnsi="Garamond"/>
          <w:color w:val="000000" w:themeColor="text1"/>
        </w:rPr>
        <w:t>’</w:t>
      </w:r>
      <w:r>
        <w:rPr>
          <w:rFonts w:ascii="Garamond" w:hAnsi="Garamond"/>
          <w:color w:val="000000" w:themeColor="text1"/>
        </w:rPr>
        <w:t>exécution de cette injonction, le Conseil d</w:t>
      </w:r>
      <w:r w:rsidR="00F86CA7">
        <w:rPr>
          <w:rFonts w:ascii="Garamond" w:hAnsi="Garamond"/>
          <w:color w:val="000000" w:themeColor="text1"/>
        </w:rPr>
        <w:t>’</w:t>
      </w:r>
      <w:r>
        <w:rPr>
          <w:rFonts w:ascii="Garamond" w:hAnsi="Garamond"/>
          <w:color w:val="000000" w:themeColor="text1"/>
        </w:rPr>
        <w:t xml:space="preserve">État a jugé que : </w:t>
      </w:r>
    </w:p>
    <w:p w14:paraId="7C54607D" w14:textId="77777777" w:rsidR="00A76C93" w:rsidRDefault="00A76C93" w:rsidP="001C3EA9">
      <w:pPr>
        <w:tabs>
          <w:tab w:val="left" w:pos="6440"/>
        </w:tabs>
        <w:spacing w:line="252" w:lineRule="auto"/>
        <w:jc w:val="both"/>
        <w:rPr>
          <w:rFonts w:ascii="Garamond" w:hAnsi="Garamond"/>
          <w:color w:val="000000" w:themeColor="text1"/>
        </w:rPr>
      </w:pPr>
    </w:p>
    <w:p w14:paraId="644367A3" w14:textId="5961688E" w:rsidR="00A76C93" w:rsidRPr="00A76C93" w:rsidRDefault="00A76C93" w:rsidP="00A76C93">
      <w:pPr>
        <w:tabs>
          <w:tab w:val="left" w:pos="6440"/>
        </w:tabs>
        <w:spacing w:line="252" w:lineRule="auto"/>
        <w:ind w:left="567"/>
        <w:jc w:val="both"/>
        <w:rPr>
          <w:rFonts w:ascii="Garamond" w:hAnsi="Garamond"/>
          <w:i/>
          <w:iCs/>
          <w:color w:val="000000" w:themeColor="text1"/>
        </w:rPr>
      </w:pPr>
      <w:r>
        <w:rPr>
          <w:rFonts w:ascii="Garamond" w:hAnsi="Garamond"/>
          <w:color w:val="000000" w:themeColor="text1"/>
        </w:rPr>
        <w:t xml:space="preserve">« […] </w:t>
      </w:r>
      <w:r w:rsidRPr="00A76C93">
        <w:rPr>
          <w:rFonts w:ascii="Garamond" w:hAnsi="Garamond"/>
          <w:i/>
          <w:iCs/>
          <w:color w:val="000000" w:themeColor="text1"/>
        </w:rPr>
        <w:t>Le juge de l</w:t>
      </w:r>
      <w:r w:rsidR="00F86CA7">
        <w:rPr>
          <w:rFonts w:ascii="Garamond" w:hAnsi="Garamond"/>
          <w:i/>
          <w:iCs/>
          <w:color w:val="000000" w:themeColor="text1"/>
        </w:rPr>
        <w:t>’</w:t>
      </w:r>
      <w:r w:rsidRPr="00A76C93">
        <w:rPr>
          <w:rFonts w:ascii="Garamond" w:hAnsi="Garamond"/>
          <w:i/>
          <w:iCs/>
          <w:color w:val="000000" w:themeColor="text1"/>
        </w:rPr>
        <w:t>exécution prend en considération tous les éléments recueillis lors de l</w:t>
      </w:r>
      <w:r w:rsidR="00F86CA7">
        <w:rPr>
          <w:rFonts w:ascii="Garamond" w:hAnsi="Garamond"/>
          <w:i/>
          <w:iCs/>
          <w:color w:val="000000" w:themeColor="text1"/>
        </w:rPr>
        <w:t>’</w:t>
      </w:r>
      <w:r w:rsidRPr="00A76C93">
        <w:rPr>
          <w:rFonts w:ascii="Garamond" w:hAnsi="Garamond"/>
          <w:i/>
          <w:iCs/>
          <w:color w:val="000000" w:themeColor="text1"/>
        </w:rPr>
        <w:t>instruction contradictoire permettant de s</w:t>
      </w:r>
      <w:r w:rsidR="00F86CA7">
        <w:rPr>
          <w:rFonts w:ascii="Garamond" w:hAnsi="Garamond"/>
          <w:i/>
          <w:iCs/>
          <w:color w:val="000000" w:themeColor="text1"/>
        </w:rPr>
        <w:t>’</w:t>
      </w:r>
      <w:r w:rsidRPr="00A76C93">
        <w:rPr>
          <w:rFonts w:ascii="Garamond" w:hAnsi="Garamond"/>
          <w:i/>
          <w:iCs/>
          <w:color w:val="000000" w:themeColor="text1"/>
        </w:rPr>
        <w:t>assurer, avec une marge de sécurité suffisante, et en tenant compte des aléas de prévision et d</w:t>
      </w:r>
      <w:r w:rsidR="00F86CA7">
        <w:rPr>
          <w:rFonts w:ascii="Garamond" w:hAnsi="Garamond"/>
          <w:i/>
          <w:iCs/>
          <w:color w:val="000000" w:themeColor="text1"/>
        </w:rPr>
        <w:t>’</w:t>
      </w:r>
      <w:r w:rsidRPr="00A76C93">
        <w:rPr>
          <w:rFonts w:ascii="Garamond" w:hAnsi="Garamond"/>
          <w:i/>
          <w:iCs/>
          <w:color w:val="000000" w:themeColor="text1"/>
        </w:rPr>
        <w:t xml:space="preserve">exécution, que les objectifs fixés par le législateur pourront être atteints. </w:t>
      </w:r>
    </w:p>
    <w:p w14:paraId="58594F62" w14:textId="77777777" w:rsidR="00A76C93" w:rsidRPr="00A76C93" w:rsidRDefault="00A76C93" w:rsidP="00A76C93">
      <w:pPr>
        <w:tabs>
          <w:tab w:val="left" w:pos="6440"/>
        </w:tabs>
        <w:spacing w:line="252" w:lineRule="auto"/>
        <w:ind w:left="567"/>
        <w:jc w:val="both"/>
        <w:rPr>
          <w:rFonts w:ascii="Garamond" w:hAnsi="Garamond"/>
          <w:i/>
          <w:iCs/>
          <w:color w:val="000000" w:themeColor="text1"/>
        </w:rPr>
      </w:pPr>
    </w:p>
    <w:p w14:paraId="5636A188" w14:textId="36752EBA" w:rsidR="00A76C93" w:rsidRPr="00A76C93" w:rsidRDefault="00A76C93" w:rsidP="00A76C93">
      <w:pPr>
        <w:tabs>
          <w:tab w:val="left" w:pos="6440"/>
        </w:tabs>
        <w:spacing w:line="252" w:lineRule="auto"/>
        <w:ind w:left="567"/>
        <w:jc w:val="both"/>
        <w:rPr>
          <w:rFonts w:ascii="Garamond" w:hAnsi="Garamond"/>
          <w:i/>
          <w:iCs/>
          <w:color w:val="000000" w:themeColor="text1"/>
        </w:rPr>
      </w:pPr>
      <w:r w:rsidRPr="00A76C93">
        <w:rPr>
          <w:rFonts w:ascii="Garamond" w:hAnsi="Garamond"/>
          <w:i/>
          <w:iCs/>
          <w:color w:val="000000" w:themeColor="text1"/>
        </w:rPr>
        <w:t>Il lui appartient, en particulier, en premier lieu, d</w:t>
      </w:r>
      <w:r w:rsidR="00F86CA7">
        <w:rPr>
          <w:rFonts w:ascii="Garamond" w:hAnsi="Garamond"/>
          <w:i/>
          <w:iCs/>
          <w:color w:val="000000" w:themeColor="text1"/>
        </w:rPr>
        <w:t>’</w:t>
      </w:r>
      <w:r w:rsidRPr="00A76C93">
        <w:rPr>
          <w:rFonts w:ascii="Garamond" w:hAnsi="Garamond"/>
          <w:i/>
          <w:iCs/>
          <w:color w:val="000000" w:themeColor="text1"/>
        </w:rPr>
        <w:t xml:space="preserve">examiner si les objectifs intermédiaires ont été atteints à la date à laquelle il statue et dans quelles conditions, </w:t>
      </w:r>
      <w:r w:rsidRPr="00A76C93">
        <w:rPr>
          <w:rFonts w:ascii="Garamond" w:hAnsi="Garamond"/>
          <w:i/>
          <w:iCs/>
          <w:color w:val="000000" w:themeColor="text1"/>
          <w:u w:val="single"/>
        </w:rPr>
        <w:t>en tenant compte, le cas échéant, des évènements exogènes qui ont pu affecter de manière sensible le niveau des émissions constatées</w:t>
      </w:r>
      <w:r w:rsidRPr="00A76C93">
        <w:rPr>
          <w:rFonts w:ascii="Garamond" w:hAnsi="Garamond"/>
          <w:i/>
          <w:iCs/>
          <w:color w:val="000000" w:themeColor="text1"/>
        </w:rPr>
        <w:t xml:space="preserve">. </w:t>
      </w:r>
    </w:p>
    <w:p w14:paraId="0D8EADD1" w14:textId="77777777" w:rsidR="00A76C93" w:rsidRPr="00A76C93" w:rsidRDefault="00A76C93" w:rsidP="00A76C93">
      <w:pPr>
        <w:tabs>
          <w:tab w:val="left" w:pos="6440"/>
        </w:tabs>
        <w:spacing w:line="252" w:lineRule="auto"/>
        <w:ind w:left="567"/>
        <w:jc w:val="both"/>
        <w:rPr>
          <w:rFonts w:ascii="Garamond" w:hAnsi="Garamond"/>
          <w:i/>
          <w:iCs/>
          <w:color w:val="000000" w:themeColor="text1"/>
        </w:rPr>
      </w:pPr>
    </w:p>
    <w:p w14:paraId="0F8E72FE" w14:textId="1B7FFEE1" w:rsidR="00A76C93" w:rsidRPr="00A76C93" w:rsidRDefault="00A76C93" w:rsidP="00A76C93">
      <w:pPr>
        <w:tabs>
          <w:tab w:val="left" w:pos="6440"/>
        </w:tabs>
        <w:spacing w:line="252" w:lineRule="auto"/>
        <w:ind w:left="567"/>
        <w:jc w:val="both"/>
        <w:rPr>
          <w:rFonts w:ascii="Garamond" w:hAnsi="Garamond"/>
          <w:i/>
          <w:iCs/>
          <w:color w:val="000000" w:themeColor="text1"/>
        </w:rPr>
      </w:pPr>
      <w:r w:rsidRPr="00A76C93">
        <w:rPr>
          <w:rFonts w:ascii="Garamond" w:hAnsi="Garamond"/>
          <w:i/>
          <w:iCs/>
          <w:color w:val="000000" w:themeColor="text1"/>
        </w:rPr>
        <w:t xml:space="preserve">En deuxième lieu, il lui appartient de prendre en compte les mesures adoptées ou annoncées par le Gouvernement et </w:t>
      </w:r>
      <w:r w:rsidRPr="00A76C93">
        <w:rPr>
          <w:rFonts w:ascii="Garamond" w:hAnsi="Garamond"/>
          <w:i/>
          <w:iCs/>
          <w:color w:val="000000" w:themeColor="text1"/>
          <w:u w:val="single"/>
        </w:rPr>
        <w:t>présentées comme de nature à réduire les émissions</w:t>
      </w:r>
      <w:r w:rsidRPr="00A76C93">
        <w:rPr>
          <w:rFonts w:ascii="Garamond" w:hAnsi="Garamond"/>
          <w:i/>
          <w:iCs/>
          <w:color w:val="000000" w:themeColor="text1"/>
        </w:rPr>
        <w:t xml:space="preserve"> de gaz à effet de serre mais également, le cas échéant, les </w:t>
      </w:r>
      <w:r w:rsidRPr="00A76C93">
        <w:rPr>
          <w:rFonts w:ascii="Garamond" w:hAnsi="Garamond"/>
          <w:i/>
          <w:iCs/>
          <w:color w:val="000000" w:themeColor="text1"/>
          <w:u w:val="single"/>
        </w:rPr>
        <w:t>mesures susceptibles d</w:t>
      </w:r>
      <w:r w:rsidR="00F86CA7">
        <w:rPr>
          <w:rFonts w:ascii="Garamond" w:hAnsi="Garamond"/>
          <w:i/>
          <w:iCs/>
          <w:color w:val="000000" w:themeColor="text1"/>
          <w:u w:val="single"/>
        </w:rPr>
        <w:t>’</w:t>
      </w:r>
      <w:r w:rsidRPr="00A76C93">
        <w:rPr>
          <w:rFonts w:ascii="Garamond" w:hAnsi="Garamond"/>
          <w:i/>
          <w:iCs/>
          <w:color w:val="000000" w:themeColor="text1"/>
          <w:u w:val="single"/>
        </w:rPr>
        <w:t>engendrer au contraire une augmentation notable de ces émissions</w:t>
      </w:r>
      <w:r w:rsidRPr="00A76C93">
        <w:rPr>
          <w:rFonts w:ascii="Garamond" w:hAnsi="Garamond"/>
          <w:i/>
          <w:iCs/>
          <w:color w:val="000000" w:themeColor="text1"/>
        </w:rPr>
        <w:t xml:space="preserve">. </w:t>
      </w:r>
    </w:p>
    <w:p w14:paraId="73D038F4" w14:textId="77777777" w:rsidR="00A76C93" w:rsidRPr="00A76C93" w:rsidRDefault="00A76C93" w:rsidP="00A76C93">
      <w:pPr>
        <w:tabs>
          <w:tab w:val="left" w:pos="6440"/>
        </w:tabs>
        <w:spacing w:line="252" w:lineRule="auto"/>
        <w:ind w:left="567"/>
        <w:jc w:val="both"/>
        <w:rPr>
          <w:rFonts w:ascii="Garamond" w:hAnsi="Garamond"/>
          <w:i/>
          <w:iCs/>
          <w:color w:val="000000" w:themeColor="text1"/>
        </w:rPr>
      </w:pPr>
    </w:p>
    <w:p w14:paraId="47D5730B" w14:textId="09F8ADA7" w:rsidR="00A76C93" w:rsidRPr="00A76C93" w:rsidRDefault="00A76C93" w:rsidP="00A76C93">
      <w:pPr>
        <w:tabs>
          <w:tab w:val="left" w:pos="6440"/>
        </w:tabs>
        <w:spacing w:line="252" w:lineRule="auto"/>
        <w:ind w:left="567"/>
        <w:jc w:val="both"/>
        <w:rPr>
          <w:rFonts w:ascii="Garamond" w:hAnsi="Garamond"/>
          <w:i/>
          <w:iCs/>
          <w:color w:val="000000" w:themeColor="text1"/>
        </w:rPr>
      </w:pPr>
      <w:r w:rsidRPr="00A76C93">
        <w:rPr>
          <w:rFonts w:ascii="Garamond" w:hAnsi="Garamond"/>
          <w:i/>
          <w:iCs/>
          <w:color w:val="000000" w:themeColor="text1"/>
        </w:rPr>
        <w:t xml:space="preserve">En troisième lieu, il doit </w:t>
      </w:r>
      <w:r w:rsidRPr="00A76C93">
        <w:rPr>
          <w:rFonts w:ascii="Garamond" w:hAnsi="Garamond"/>
          <w:i/>
          <w:iCs/>
          <w:color w:val="000000" w:themeColor="text1"/>
          <w:u w:val="single"/>
        </w:rPr>
        <w:t>prendre en considération les effets constatés ou prévisibles de ces différentes mesures et, plus largement, l</w:t>
      </w:r>
      <w:r w:rsidR="00F86CA7">
        <w:rPr>
          <w:rFonts w:ascii="Garamond" w:hAnsi="Garamond"/>
          <w:i/>
          <w:iCs/>
          <w:color w:val="000000" w:themeColor="text1"/>
          <w:u w:val="single"/>
        </w:rPr>
        <w:t>’</w:t>
      </w:r>
      <w:r w:rsidRPr="00A76C93">
        <w:rPr>
          <w:rFonts w:ascii="Garamond" w:hAnsi="Garamond"/>
          <w:i/>
          <w:iCs/>
          <w:color w:val="000000" w:themeColor="text1"/>
          <w:u w:val="single"/>
        </w:rPr>
        <w:t>efficacité des politiques publiques mises en place, au regard des différentes méthodes d</w:t>
      </w:r>
      <w:r w:rsidR="00F86CA7">
        <w:rPr>
          <w:rFonts w:ascii="Garamond" w:hAnsi="Garamond"/>
          <w:i/>
          <w:iCs/>
          <w:color w:val="000000" w:themeColor="text1"/>
          <w:u w:val="single"/>
        </w:rPr>
        <w:t>’</w:t>
      </w:r>
      <w:r w:rsidRPr="00A76C93">
        <w:rPr>
          <w:rFonts w:ascii="Garamond" w:hAnsi="Garamond"/>
          <w:i/>
          <w:iCs/>
          <w:color w:val="000000" w:themeColor="text1"/>
          <w:u w:val="single"/>
        </w:rPr>
        <w:t>évaluation ou d</w:t>
      </w:r>
      <w:r w:rsidR="00F86CA7">
        <w:rPr>
          <w:rFonts w:ascii="Garamond" w:hAnsi="Garamond"/>
          <w:i/>
          <w:iCs/>
          <w:color w:val="000000" w:themeColor="text1"/>
          <w:u w:val="single"/>
        </w:rPr>
        <w:t>’</w:t>
      </w:r>
      <w:r w:rsidRPr="00A76C93">
        <w:rPr>
          <w:rFonts w:ascii="Garamond" w:hAnsi="Garamond"/>
          <w:i/>
          <w:iCs/>
          <w:color w:val="000000" w:themeColor="text1"/>
          <w:u w:val="single"/>
        </w:rPr>
        <w:t>estimation disponibles</w:t>
      </w:r>
      <w:r w:rsidRPr="00A76C93">
        <w:rPr>
          <w:rFonts w:ascii="Garamond" w:hAnsi="Garamond"/>
          <w:i/>
          <w:iCs/>
          <w:color w:val="000000" w:themeColor="text1"/>
        </w:rPr>
        <w:t xml:space="preserve">, y compris les avis émis par les experts, notamment le Haut conseil pour le climat […], pour apprécier la compatibilité de la trajectoire de baisse des émissions de gaz à effet de serre avec les objectifs assignés à la France. </w:t>
      </w:r>
    </w:p>
    <w:p w14:paraId="5F0E79D2" w14:textId="77777777" w:rsidR="00A76C93" w:rsidRPr="00A76C93" w:rsidRDefault="00A76C93" w:rsidP="00A76C93">
      <w:pPr>
        <w:tabs>
          <w:tab w:val="left" w:pos="6440"/>
        </w:tabs>
        <w:spacing w:line="252" w:lineRule="auto"/>
        <w:ind w:left="567"/>
        <w:jc w:val="both"/>
        <w:rPr>
          <w:rFonts w:ascii="Garamond" w:hAnsi="Garamond"/>
          <w:i/>
          <w:iCs/>
          <w:color w:val="000000" w:themeColor="text1"/>
        </w:rPr>
      </w:pPr>
    </w:p>
    <w:p w14:paraId="2A4F6EF3" w14:textId="4A57633A" w:rsidR="00A76C93" w:rsidRPr="00A76C93" w:rsidRDefault="00A76C93" w:rsidP="00A76C93">
      <w:pPr>
        <w:tabs>
          <w:tab w:val="left" w:pos="6440"/>
        </w:tabs>
        <w:spacing w:line="252" w:lineRule="auto"/>
        <w:ind w:left="567"/>
        <w:jc w:val="both"/>
        <w:rPr>
          <w:rFonts w:ascii="Garamond" w:hAnsi="Garamond"/>
          <w:i/>
          <w:iCs/>
          <w:color w:val="000000" w:themeColor="text1"/>
        </w:rPr>
      </w:pPr>
      <w:r w:rsidRPr="00A76C93">
        <w:rPr>
          <w:rFonts w:ascii="Garamond" w:hAnsi="Garamond"/>
          <w:i/>
          <w:iCs/>
          <w:color w:val="000000" w:themeColor="text1"/>
        </w:rPr>
        <w:t>Au regard de l</w:t>
      </w:r>
      <w:r w:rsidR="00F86CA7">
        <w:rPr>
          <w:rFonts w:ascii="Garamond" w:hAnsi="Garamond"/>
          <w:i/>
          <w:iCs/>
          <w:color w:val="000000" w:themeColor="text1"/>
        </w:rPr>
        <w:t>’</w:t>
      </w:r>
      <w:r w:rsidRPr="00A76C93">
        <w:rPr>
          <w:rFonts w:ascii="Garamond" w:hAnsi="Garamond"/>
          <w:i/>
          <w:iCs/>
          <w:color w:val="000000" w:themeColor="text1"/>
        </w:rPr>
        <w:t xml:space="preserve">ensemble de ces éléments, il appartient, en dernier lieu, au juge de déterminer, dans une perspective dynamique, et </w:t>
      </w:r>
      <w:r w:rsidRPr="00A76C93">
        <w:rPr>
          <w:rFonts w:ascii="Garamond" w:hAnsi="Garamond"/>
          <w:i/>
          <w:iCs/>
          <w:color w:val="000000" w:themeColor="text1"/>
          <w:u w:val="single"/>
        </w:rPr>
        <w:t>sans se limiter à l</w:t>
      </w:r>
      <w:r w:rsidR="00F86CA7">
        <w:rPr>
          <w:rFonts w:ascii="Garamond" w:hAnsi="Garamond"/>
          <w:i/>
          <w:iCs/>
          <w:color w:val="000000" w:themeColor="text1"/>
          <w:u w:val="single"/>
        </w:rPr>
        <w:t>’</w:t>
      </w:r>
      <w:r w:rsidRPr="00A76C93">
        <w:rPr>
          <w:rFonts w:ascii="Garamond" w:hAnsi="Garamond"/>
          <w:i/>
          <w:iCs/>
          <w:color w:val="000000" w:themeColor="text1"/>
          <w:u w:val="single"/>
        </w:rPr>
        <w:t>atteinte des objectifs intermédiaires</w:t>
      </w:r>
      <w:r w:rsidRPr="00A76C93">
        <w:rPr>
          <w:rFonts w:ascii="Garamond" w:hAnsi="Garamond"/>
          <w:i/>
          <w:iCs/>
          <w:color w:val="000000" w:themeColor="text1"/>
        </w:rPr>
        <w:t>, mais en prenant en compte les objectifs fixés à la date de sa décision d</w:t>
      </w:r>
      <w:r w:rsidR="00F86CA7">
        <w:rPr>
          <w:rFonts w:ascii="Garamond" w:hAnsi="Garamond"/>
          <w:i/>
          <w:iCs/>
          <w:color w:val="000000" w:themeColor="text1"/>
        </w:rPr>
        <w:t>’</w:t>
      </w:r>
      <w:r w:rsidRPr="00A76C93">
        <w:rPr>
          <w:rFonts w:ascii="Garamond" w:hAnsi="Garamond"/>
          <w:i/>
          <w:iCs/>
          <w:color w:val="000000" w:themeColor="text1"/>
        </w:rPr>
        <w:t>annulation, si, au vu des effets déjà constatés, des mesures annoncées et des caractéristiques des objectifs à atteindre ainsi que des modalités de planification et de coordination de l</w:t>
      </w:r>
      <w:r w:rsidR="00F86CA7">
        <w:rPr>
          <w:rFonts w:ascii="Garamond" w:hAnsi="Garamond"/>
          <w:i/>
          <w:iCs/>
          <w:color w:val="000000" w:themeColor="text1"/>
        </w:rPr>
        <w:t>’</w:t>
      </w:r>
      <w:r w:rsidRPr="00A76C93">
        <w:rPr>
          <w:rFonts w:ascii="Garamond" w:hAnsi="Garamond"/>
          <w:i/>
          <w:iCs/>
          <w:color w:val="000000" w:themeColor="text1"/>
        </w:rPr>
        <w:t>action publique mises en œuvre, les objectifs de réduction des émissions de gaz à effet de serre fixés à l</w:t>
      </w:r>
      <w:r w:rsidR="00F86CA7">
        <w:rPr>
          <w:rFonts w:ascii="Garamond" w:hAnsi="Garamond"/>
          <w:i/>
          <w:iCs/>
          <w:color w:val="000000" w:themeColor="text1"/>
        </w:rPr>
        <w:t>’</w:t>
      </w:r>
      <w:r w:rsidRPr="00A76C93">
        <w:rPr>
          <w:rFonts w:ascii="Garamond" w:hAnsi="Garamond"/>
          <w:i/>
          <w:iCs/>
          <w:color w:val="000000" w:themeColor="text1"/>
        </w:rPr>
        <w:t xml:space="preserve">échéance de 2030 peuvent, à la date de sa décision, être regardés comme raisonnablement atteignables. </w:t>
      </w:r>
    </w:p>
    <w:p w14:paraId="38EA965C" w14:textId="77777777" w:rsidR="00A76C93" w:rsidRPr="00A76C93" w:rsidRDefault="00A76C93" w:rsidP="00A76C93">
      <w:pPr>
        <w:tabs>
          <w:tab w:val="left" w:pos="6440"/>
        </w:tabs>
        <w:spacing w:line="252" w:lineRule="auto"/>
        <w:ind w:left="567"/>
        <w:jc w:val="both"/>
        <w:rPr>
          <w:rFonts w:ascii="Garamond" w:hAnsi="Garamond"/>
          <w:i/>
          <w:iCs/>
          <w:color w:val="000000" w:themeColor="text1"/>
        </w:rPr>
      </w:pPr>
    </w:p>
    <w:p w14:paraId="31B84860" w14:textId="75032060" w:rsidR="00A76C93" w:rsidRDefault="00A76C93" w:rsidP="00A76C93">
      <w:pPr>
        <w:tabs>
          <w:tab w:val="left" w:pos="6440"/>
        </w:tabs>
        <w:spacing w:line="252" w:lineRule="auto"/>
        <w:ind w:left="567"/>
        <w:jc w:val="both"/>
        <w:rPr>
          <w:rFonts w:ascii="Garamond" w:hAnsi="Garamond"/>
          <w:color w:val="000000" w:themeColor="text1"/>
        </w:rPr>
      </w:pPr>
      <w:r w:rsidRPr="00A76C93">
        <w:rPr>
          <w:rFonts w:ascii="Garamond" w:hAnsi="Garamond"/>
          <w:i/>
          <w:iCs/>
          <w:color w:val="000000" w:themeColor="text1"/>
        </w:rPr>
        <w:t>Si au terme de cette analyse, le juge de l</w:t>
      </w:r>
      <w:r w:rsidR="00F86CA7">
        <w:rPr>
          <w:rFonts w:ascii="Garamond" w:hAnsi="Garamond"/>
          <w:i/>
          <w:iCs/>
          <w:color w:val="000000" w:themeColor="text1"/>
        </w:rPr>
        <w:t>’</w:t>
      </w:r>
      <w:r w:rsidRPr="00A76C93">
        <w:rPr>
          <w:rFonts w:ascii="Garamond" w:hAnsi="Garamond"/>
          <w:i/>
          <w:iCs/>
          <w:color w:val="000000" w:themeColor="text1"/>
        </w:rPr>
        <w:t>exécution estime que des éléments suffisamment crédibles et étayés permettent de regarder la trajectoire d</w:t>
      </w:r>
      <w:r w:rsidR="00F86CA7">
        <w:rPr>
          <w:rFonts w:ascii="Garamond" w:hAnsi="Garamond"/>
          <w:i/>
          <w:iCs/>
          <w:color w:val="000000" w:themeColor="text1"/>
        </w:rPr>
        <w:t>’</w:t>
      </w:r>
      <w:r w:rsidRPr="00A76C93">
        <w:rPr>
          <w:rFonts w:ascii="Garamond" w:hAnsi="Garamond"/>
          <w:i/>
          <w:iCs/>
          <w:color w:val="000000" w:themeColor="text1"/>
        </w:rPr>
        <w:t>atteinte de ces objectifs comme respectée, il peut clore le contentieux lié à l</w:t>
      </w:r>
      <w:r w:rsidR="00F86CA7">
        <w:rPr>
          <w:rFonts w:ascii="Garamond" w:hAnsi="Garamond"/>
          <w:i/>
          <w:iCs/>
          <w:color w:val="000000" w:themeColor="text1"/>
        </w:rPr>
        <w:t>’</w:t>
      </w:r>
      <w:r w:rsidRPr="00A76C93">
        <w:rPr>
          <w:rFonts w:ascii="Garamond" w:hAnsi="Garamond"/>
          <w:i/>
          <w:iCs/>
          <w:color w:val="000000" w:themeColor="text1"/>
        </w:rPr>
        <w:t>exécution de sa décision. Si au contraire il estime que tel n</w:t>
      </w:r>
      <w:r w:rsidR="00F86CA7">
        <w:rPr>
          <w:rFonts w:ascii="Garamond" w:hAnsi="Garamond"/>
          <w:i/>
          <w:iCs/>
          <w:color w:val="000000" w:themeColor="text1"/>
        </w:rPr>
        <w:t>’</w:t>
      </w:r>
      <w:r w:rsidRPr="00A76C93">
        <w:rPr>
          <w:rFonts w:ascii="Garamond" w:hAnsi="Garamond"/>
          <w:i/>
          <w:iCs/>
          <w:color w:val="000000" w:themeColor="text1"/>
        </w:rPr>
        <w:t>est pas le cas, il lui appartient d</w:t>
      </w:r>
      <w:r w:rsidR="00F86CA7">
        <w:rPr>
          <w:rFonts w:ascii="Garamond" w:hAnsi="Garamond"/>
          <w:i/>
          <w:iCs/>
          <w:color w:val="000000" w:themeColor="text1"/>
        </w:rPr>
        <w:t>’</w:t>
      </w:r>
      <w:r w:rsidRPr="00A76C93">
        <w:rPr>
          <w:rFonts w:ascii="Garamond" w:hAnsi="Garamond"/>
          <w:i/>
          <w:iCs/>
          <w:color w:val="000000" w:themeColor="text1"/>
        </w:rPr>
        <w:t>apprécier l</w:t>
      </w:r>
      <w:r w:rsidR="00F86CA7">
        <w:rPr>
          <w:rFonts w:ascii="Garamond" w:hAnsi="Garamond"/>
          <w:i/>
          <w:iCs/>
          <w:color w:val="000000" w:themeColor="text1"/>
        </w:rPr>
        <w:t>’</w:t>
      </w:r>
      <w:r w:rsidRPr="00A76C93">
        <w:rPr>
          <w:rFonts w:ascii="Garamond" w:hAnsi="Garamond"/>
          <w:i/>
          <w:iCs/>
          <w:color w:val="000000" w:themeColor="text1"/>
        </w:rPr>
        <w:t xml:space="preserve">opportunité de compléter les mesures déjà prescrites ou de prononcer une astreinte, en tenant compte pour ce </w:t>
      </w:r>
      <w:r w:rsidRPr="00A76C93">
        <w:rPr>
          <w:rFonts w:ascii="Garamond" w:hAnsi="Garamond"/>
          <w:i/>
          <w:iCs/>
          <w:color w:val="000000" w:themeColor="text1"/>
        </w:rPr>
        <w:lastRenderedPageBreak/>
        <w:t>faire tant des circonstances de droit et de fait à la date de sa décision que des diligences déjà accomplies par l</w:t>
      </w:r>
      <w:r w:rsidR="00F86CA7">
        <w:rPr>
          <w:rFonts w:ascii="Garamond" w:hAnsi="Garamond"/>
          <w:i/>
          <w:iCs/>
          <w:color w:val="000000" w:themeColor="text1"/>
        </w:rPr>
        <w:t>’</w:t>
      </w:r>
      <w:r w:rsidRPr="00A76C93">
        <w:rPr>
          <w:rFonts w:ascii="Garamond" w:hAnsi="Garamond"/>
          <w:i/>
          <w:iCs/>
          <w:color w:val="000000" w:themeColor="text1"/>
        </w:rPr>
        <w:t>administration pour procéder à l</w:t>
      </w:r>
      <w:r w:rsidR="00F86CA7">
        <w:rPr>
          <w:rFonts w:ascii="Garamond" w:hAnsi="Garamond"/>
          <w:i/>
          <w:iCs/>
          <w:color w:val="000000" w:themeColor="text1"/>
        </w:rPr>
        <w:t>’</w:t>
      </w:r>
      <w:r w:rsidRPr="00A76C93">
        <w:rPr>
          <w:rFonts w:ascii="Garamond" w:hAnsi="Garamond"/>
          <w:i/>
          <w:iCs/>
          <w:color w:val="000000" w:themeColor="text1"/>
        </w:rPr>
        <w:t>exécution de la décision du 1er juillet 2021, ainsi que de celles qui sont encore susceptibles de l</w:t>
      </w:r>
      <w:r w:rsidR="00F86CA7">
        <w:rPr>
          <w:rFonts w:ascii="Garamond" w:hAnsi="Garamond"/>
          <w:i/>
          <w:iCs/>
          <w:color w:val="000000" w:themeColor="text1"/>
        </w:rPr>
        <w:t>’</w:t>
      </w:r>
      <w:r w:rsidRPr="00A76C93">
        <w:rPr>
          <w:rFonts w:ascii="Garamond" w:hAnsi="Garamond"/>
          <w:i/>
          <w:iCs/>
          <w:color w:val="000000" w:themeColor="text1"/>
        </w:rPr>
        <w:t>être</w:t>
      </w:r>
      <w:r>
        <w:rPr>
          <w:rFonts w:ascii="Garamond" w:hAnsi="Garamond"/>
          <w:color w:val="000000" w:themeColor="text1"/>
        </w:rPr>
        <w:t xml:space="preserve"> » (CE, 10 mai 2023, </w:t>
      </w:r>
      <w:r w:rsidRPr="00A76C93">
        <w:rPr>
          <w:rFonts w:ascii="Garamond" w:hAnsi="Garamond"/>
          <w:i/>
          <w:iCs/>
          <w:color w:val="000000" w:themeColor="text1"/>
        </w:rPr>
        <w:t>Commune de Grande-Synthe et autres</w:t>
      </w:r>
      <w:r>
        <w:rPr>
          <w:rFonts w:ascii="Garamond" w:hAnsi="Garamond"/>
          <w:color w:val="000000" w:themeColor="text1"/>
        </w:rPr>
        <w:t>, req. n° </w:t>
      </w:r>
      <w:r w:rsidRPr="00A76C93">
        <w:rPr>
          <w:rFonts w:ascii="Garamond" w:hAnsi="Garamond"/>
          <w:color w:val="000000" w:themeColor="text1"/>
        </w:rPr>
        <w:t>467982</w:t>
      </w:r>
      <w:r>
        <w:rPr>
          <w:rFonts w:ascii="Garamond" w:hAnsi="Garamond"/>
          <w:color w:val="000000" w:themeColor="text1"/>
        </w:rPr>
        <w:t xml:space="preserve">, publié au recueil Lebon, soulignement ajouté). </w:t>
      </w:r>
    </w:p>
    <w:p w14:paraId="4D796800" w14:textId="77777777" w:rsidR="00A76C93" w:rsidRDefault="00A76C93" w:rsidP="001C3EA9">
      <w:pPr>
        <w:tabs>
          <w:tab w:val="left" w:pos="6440"/>
        </w:tabs>
        <w:spacing w:line="252" w:lineRule="auto"/>
        <w:jc w:val="both"/>
        <w:rPr>
          <w:rFonts w:ascii="Garamond" w:hAnsi="Garamond"/>
          <w:color w:val="000000" w:themeColor="text1"/>
        </w:rPr>
      </w:pPr>
    </w:p>
    <w:p w14:paraId="140E4D2E" w14:textId="7721A3A3" w:rsidR="00A76C93" w:rsidRDefault="00A76C93" w:rsidP="001C3EA9">
      <w:pPr>
        <w:tabs>
          <w:tab w:val="left" w:pos="6440"/>
        </w:tabs>
        <w:spacing w:line="252" w:lineRule="auto"/>
        <w:jc w:val="both"/>
        <w:rPr>
          <w:rFonts w:ascii="Garamond" w:hAnsi="Garamond"/>
          <w:color w:val="000000" w:themeColor="text1"/>
        </w:rPr>
      </w:pPr>
      <w:r>
        <w:rPr>
          <w:rFonts w:ascii="Garamond" w:hAnsi="Garamond"/>
          <w:color w:val="000000" w:themeColor="text1"/>
        </w:rPr>
        <w:t>Autrement dit, il ressort de cette décision que, pour le juge de l</w:t>
      </w:r>
      <w:r w:rsidR="00F86CA7">
        <w:rPr>
          <w:rFonts w:ascii="Garamond" w:hAnsi="Garamond"/>
          <w:color w:val="000000" w:themeColor="text1"/>
        </w:rPr>
        <w:t>’</w:t>
      </w:r>
      <w:r>
        <w:rPr>
          <w:rFonts w:ascii="Garamond" w:hAnsi="Garamond"/>
          <w:color w:val="000000" w:themeColor="text1"/>
        </w:rPr>
        <w:t>exécution, le respect éventuel d</w:t>
      </w:r>
      <w:r w:rsidR="00F86CA7">
        <w:rPr>
          <w:rFonts w:ascii="Garamond" w:hAnsi="Garamond"/>
          <w:color w:val="000000" w:themeColor="text1"/>
        </w:rPr>
        <w:t>’</w:t>
      </w:r>
      <w:r>
        <w:rPr>
          <w:rFonts w:ascii="Garamond" w:hAnsi="Garamond"/>
          <w:color w:val="000000" w:themeColor="text1"/>
        </w:rPr>
        <w:t>objectifs quantitatifs ne permet pas, à lui seul, d</w:t>
      </w:r>
      <w:r w:rsidR="00F86CA7">
        <w:rPr>
          <w:rFonts w:ascii="Garamond" w:hAnsi="Garamond"/>
          <w:color w:val="000000" w:themeColor="text1"/>
        </w:rPr>
        <w:t>’</w:t>
      </w:r>
      <w:r>
        <w:rPr>
          <w:rFonts w:ascii="Garamond" w:hAnsi="Garamond"/>
          <w:color w:val="000000" w:themeColor="text1"/>
        </w:rPr>
        <w:t>établir le caractère suffisant de l</w:t>
      </w:r>
      <w:r w:rsidR="00F86CA7">
        <w:rPr>
          <w:rFonts w:ascii="Garamond" w:hAnsi="Garamond"/>
          <w:color w:val="000000" w:themeColor="text1"/>
        </w:rPr>
        <w:t>’</w:t>
      </w:r>
      <w:r>
        <w:rPr>
          <w:rFonts w:ascii="Garamond" w:hAnsi="Garamond"/>
          <w:color w:val="000000" w:themeColor="text1"/>
        </w:rPr>
        <w:t>action de l</w:t>
      </w:r>
      <w:r w:rsidR="00F86CA7">
        <w:rPr>
          <w:rFonts w:ascii="Garamond" w:hAnsi="Garamond"/>
          <w:color w:val="000000" w:themeColor="text1"/>
        </w:rPr>
        <w:t>’</w:t>
      </w:r>
      <w:r>
        <w:rPr>
          <w:rFonts w:ascii="Garamond" w:hAnsi="Garamond"/>
          <w:color w:val="000000" w:themeColor="text1"/>
        </w:rPr>
        <w:t xml:space="preserve">État. </w:t>
      </w:r>
    </w:p>
    <w:p w14:paraId="1C795D3B" w14:textId="77777777" w:rsidR="00A76C93" w:rsidRDefault="00A76C93" w:rsidP="001C3EA9">
      <w:pPr>
        <w:tabs>
          <w:tab w:val="left" w:pos="6440"/>
        </w:tabs>
        <w:spacing w:line="252" w:lineRule="auto"/>
        <w:jc w:val="both"/>
        <w:rPr>
          <w:rFonts w:ascii="Garamond" w:hAnsi="Garamond"/>
          <w:color w:val="000000" w:themeColor="text1"/>
        </w:rPr>
      </w:pPr>
    </w:p>
    <w:p w14:paraId="67E8C717" w14:textId="426FEA77" w:rsidR="00A76C93" w:rsidRDefault="00A76C93" w:rsidP="001C3EA9">
      <w:pPr>
        <w:tabs>
          <w:tab w:val="left" w:pos="6440"/>
        </w:tabs>
        <w:spacing w:line="252" w:lineRule="auto"/>
        <w:jc w:val="both"/>
        <w:rPr>
          <w:rFonts w:ascii="Garamond" w:hAnsi="Garamond"/>
          <w:color w:val="000000" w:themeColor="text1"/>
        </w:rPr>
      </w:pPr>
      <w:r>
        <w:rPr>
          <w:rFonts w:ascii="Garamond" w:hAnsi="Garamond"/>
          <w:color w:val="000000" w:themeColor="text1"/>
        </w:rPr>
        <w:t>Au-delà de l</w:t>
      </w:r>
      <w:r w:rsidR="00F86CA7">
        <w:rPr>
          <w:rFonts w:ascii="Garamond" w:hAnsi="Garamond"/>
          <w:color w:val="000000" w:themeColor="text1"/>
        </w:rPr>
        <w:t>’</w:t>
      </w:r>
      <w:r>
        <w:rPr>
          <w:rFonts w:ascii="Garamond" w:hAnsi="Garamond"/>
          <w:color w:val="000000" w:themeColor="text1"/>
        </w:rPr>
        <w:t>atteinte de ces objectifs, il convient, en effet, de veiller à l</w:t>
      </w:r>
      <w:r w:rsidR="00F86CA7">
        <w:rPr>
          <w:rFonts w:ascii="Garamond" w:hAnsi="Garamond"/>
          <w:color w:val="000000" w:themeColor="text1"/>
        </w:rPr>
        <w:t>’</w:t>
      </w:r>
      <w:r>
        <w:rPr>
          <w:rFonts w:ascii="Garamond" w:hAnsi="Garamond"/>
          <w:color w:val="000000" w:themeColor="text1"/>
        </w:rPr>
        <w:t>efficacité de l</w:t>
      </w:r>
      <w:r w:rsidR="00F86CA7">
        <w:rPr>
          <w:rFonts w:ascii="Garamond" w:hAnsi="Garamond"/>
          <w:color w:val="000000" w:themeColor="text1"/>
        </w:rPr>
        <w:t>’</w:t>
      </w:r>
      <w:r>
        <w:rPr>
          <w:rFonts w:ascii="Garamond" w:hAnsi="Garamond"/>
          <w:color w:val="000000" w:themeColor="text1"/>
        </w:rPr>
        <w:t>action menée, en tenant compte, le cas échéant, de l</w:t>
      </w:r>
      <w:r w:rsidR="00F86CA7">
        <w:rPr>
          <w:rFonts w:ascii="Garamond" w:hAnsi="Garamond"/>
          <w:color w:val="000000" w:themeColor="text1"/>
        </w:rPr>
        <w:t>’</w:t>
      </w:r>
      <w:r>
        <w:rPr>
          <w:rFonts w:ascii="Garamond" w:hAnsi="Garamond"/>
          <w:color w:val="000000" w:themeColor="text1"/>
        </w:rPr>
        <w:t xml:space="preserve">influence des phénomènes conjoncturels sur la diminution des émissions. </w:t>
      </w:r>
    </w:p>
    <w:p w14:paraId="3A721DC1" w14:textId="77777777" w:rsidR="00A76C93" w:rsidRDefault="00A76C93" w:rsidP="00A76C93">
      <w:pPr>
        <w:spacing w:line="252" w:lineRule="auto"/>
        <w:jc w:val="both"/>
        <w:rPr>
          <w:rFonts w:ascii="Garamond" w:hAnsi="Garamond"/>
        </w:rPr>
      </w:pPr>
    </w:p>
    <w:p w14:paraId="46EC3FAB" w14:textId="77777777" w:rsidR="00A76C93" w:rsidRPr="00F52A38" w:rsidRDefault="00A76C93" w:rsidP="00A76C93">
      <w:pPr>
        <w:numPr>
          <w:ilvl w:val="0"/>
          <w:numId w:val="1"/>
        </w:numPr>
        <w:spacing w:line="252" w:lineRule="auto"/>
        <w:ind w:left="0" w:firstLine="0"/>
        <w:jc w:val="both"/>
        <w:rPr>
          <w:rFonts w:ascii="Garamond" w:hAnsi="Garamond"/>
          <w:color w:val="000000" w:themeColor="text1"/>
        </w:rPr>
      </w:pPr>
    </w:p>
    <w:p w14:paraId="705352B1" w14:textId="77777777" w:rsidR="00A76C93" w:rsidRDefault="00A76C93" w:rsidP="00A76C93">
      <w:pPr>
        <w:tabs>
          <w:tab w:val="left" w:pos="6440"/>
        </w:tabs>
        <w:spacing w:line="252" w:lineRule="auto"/>
        <w:jc w:val="both"/>
        <w:rPr>
          <w:rFonts w:ascii="Garamond" w:hAnsi="Garamond"/>
          <w:color w:val="000000" w:themeColor="text1"/>
        </w:rPr>
      </w:pPr>
    </w:p>
    <w:p w14:paraId="09D63A35" w14:textId="044AF41C" w:rsidR="00A76C93" w:rsidRDefault="00A76C93" w:rsidP="001C3EA9">
      <w:pPr>
        <w:tabs>
          <w:tab w:val="left" w:pos="6440"/>
        </w:tabs>
        <w:spacing w:line="252" w:lineRule="auto"/>
        <w:jc w:val="both"/>
        <w:rPr>
          <w:rFonts w:ascii="Garamond" w:hAnsi="Garamond"/>
          <w:color w:val="000000" w:themeColor="text1"/>
        </w:rPr>
      </w:pPr>
      <w:r w:rsidRPr="00A76C93">
        <w:rPr>
          <w:rFonts w:ascii="Garamond" w:hAnsi="Garamond"/>
          <w:b/>
          <w:bCs/>
          <w:color w:val="000000" w:themeColor="text1"/>
          <w:u w:val="single"/>
        </w:rPr>
        <w:t>En définitive</w:t>
      </w:r>
      <w:r>
        <w:rPr>
          <w:rFonts w:ascii="Garamond" w:hAnsi="Garamond"/>
          <w:color w:val="000000" w:themeColor="text1"/>
        </w:rPr>
        <w:t>, vérifier l</w:t>
      </w:r>
      <w:r w:rsidR="00F86CA7">
        <w:rPr>
          <w:rFonts w:ascii="Garamond" w:hAnsi="Garamond"/>
          <w:color w:val="000000" w:themeColor="text1"/>
        </w:rPr>
        <w:t>’</w:t>
      </w:r>
      <w:r>
        <w:rPr>
          <w:rFonts w:ascii="Garamond" w:hAnsi="Garamond"/>
          <w:color w:val="000000" w:themeColor="text1"/>
        </w:rPr>
        <w:t>exécution du jugement du 14 octobre 2021 suppose, certes, d</w:t>
      </w:r>
      <w:r w:rsidR="00F86CA7">
        <w:rPr>
          <w:rFonts w:ascii="Garamond" w:hAnsi="Garamond"/>
          <w:color w:val="000000" w:themeColor="text1"/>
        </w:rPr>
        <w:t>’</w:t>
      </w:r>
      <w:r>
        <w:rPr>
          <w:rFonts w:ascii="Garamond" w:hAnsi="Garamond"/>
          <w:color w:val="000000" w:themeColor="text1"/>
        </w:rPr>
        <w:t>examiner les données brutes d</w:t>
      </w:r>
      <w:r w:rsidR="00F86CA7">
        <w:rPr>
          <w:rFonts w:ascii="Garamond" w:hAnsi="Garamond"/>
          <w:color w:val="000000" w:themeColor="text1"/>
        </w:rPr>
        <w:t>’</w:t>
      </w:r>
      <w:r>
        <w:rPr>
          <w:rFonts w:ascii="Garamond" w:hAnsi="Garamond"/>
          <w:color w:val="000000" w:themeColor="text1"/>
        </w:rPr>
        <w:t>émissions, mais aussi, et surtout, de déterminer l</w:t>
      </w:r>
      <w:r w:rsidR="00F86CA7">
        <w:rPr>
          <w:rFonts w:ascii="Garamond" w:hAnsi="Garamond"/>
          <w:color w:val="000000" w:themeColor="text1"/>
        </w:rPr>
        <w:t>’</w:t>
      </w:r>
      <w:r>
        <w:rPr>
          <w:rFonts w:ascii="Garamond" w:hAnsi="Garamond"/>
          <w:color w:val="000000" w:themeColor="text1"/>
        </w:rPr>
        <w:t>impact et l</w:t>
      </w:r>
      <w:r w:rsidR="00F86CA7">
        <w:rPr>
          <w:rFonts w:ascii="Garamond" w:hAnsi="Garamond"/>
          <w:color w:val="000000" w:themeColor="text1"/>
        </w:rPr>
        <w:t>’</w:t>
      </w:r>
      <w:r>
        <w:rPr>
          <w:rFonts w:ascii="Garamond" w:hAnsi="Garamond"/>
          <w:color w:val="000000" w:themeColor="text1"/>
        </w:rPr>
        <w:t>efficacité des actions entreprises par l</w:t>
      </w:r>
      <w:r w:rsidR="00F86CA7">
        <w:rPr>
          <w:rFonts w:ascii="Garamond" w:hAnsi="Garamond"/>
          <w:color w:val="000000" w:themeColor="text1"/>
        </w:rPr>
        <w:t>’</w:t>
      </w:r>
      <w:r>
        <w:rPr>
          <w:rFonts w:ascii="Garamond" w:hAnsi="Garamond"/>
          <w:color w:val="000000" w:themeColor="text1"/>
        </w:rPr>
        <w:t xml:space="preserve">État pour parvenir à ce résultat. </w:t>
      </w:r>
    </w:p>
    <w:p w14:paraId="287C2753" w14:textId="77777777" w:rsidR="00A76C93" w:rsidRDefault="00A76C93" w:rsidP="001C3EA9">
      <w:pPr>
        <w:tabs>
          <w:tab w:val="left" w:pos="6440"/>
        </w:tabs>
        <w:spacing w:line="252" w:lineRule="auto"/>
        <w:jc w:val="both"/>
        <w:rPr>
          <w:rFonts w:ascii="Garamond" w:hAnsi="Garamond"/>
          <w:color w:val="000000" w:themeColor="text1"/>
        </w:rPr>
      </w:pPr>
    </w:p>
    <w:p w14:paraId="05D35577" w14:textId="39F114DF" w:rsid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Et de ce point de vue, force est de constater que l</w:t>
      </w:r>
      <w:r w:rsidR="00F86CA7">
        <w:rPr>
          <w:rFonts w:ascii="Garamond" w:hAnsi="Garamond"/>
          <w:color w:val="000000" w:themeColor="text1"/>
        </w:rPr>
        <w:t>’</w:t>
      </w:r>
      <w:r>
        <w:rPr>
          <w:rFonts w:ascii="Garamond" w:hAnsi="Garamond"/>
          <w:color w:val="000000" w:themeColor="text1"/>
        </w:rPr>
        <w:t>État n</w:t>
      </w:r>
      <w:r w:rsidR="00F86CA7">
        <w:rPr>
          <w:rFonts w:ascii="Garamond" w:hAnsi="Garamond"/>
          <w:color w:val="000000" w:themeColor="text1"/>
        </w:rPr>
        <w:t>’</w:t>
      </w:r>
      <w:r>
        <w:rPr>
          <w:rFonts w:ascii="Garamond" w:hAnsi="Garamond"/>
          <w:color w:val="000000" w:themeColor="text1"/>
        </w:rPr>
        <w:t>a pas exécuté, dans les délais prescrits par le jugement, l</w:t>
      </w:r>
      <w:r w:rsidR="00F86CA7">
        <w:rPr>
          <w:rFonts w:ascii="Garamond" w:hAnsi="Garamond"/>
          <w:color w:val="000000" w:themeColor="text1"/>
        </w:rPr>
        <w:t>’</w:t>
      </w:r>
      <w:r>
        <w:rPr>
          <w:rFonts w:ascii="Garamond" w:hAnsi="Garamond"/>
          <w:color w:val="000000" w:themeColor="text1"/>
        </w:rPr>
        <w:t xml:space="preserve">injonction mise à sa charge par le Tribunal administratif de Paris. </w:t>
      </w:r>
    </w:p>
    <w:p w14:paraId="7949FF80" w14:textId="77777777" w:rsidR="00A76C93" w:rsidRDefault="00A76C93" w:rsidP="00A76C93">
      <w:pPr>
        <w:spacing w:line="252" w:lineRule="auto"/>
        <w:jc w:val="both"/>
        <w:rPr>
          <w:rFonts w:ascii="Garamond" w:hAnsi="Garamond"/>
        </w:rPr>
      </w:pPr>
    </w:p>
    <w:p w14:paraId="26DBD873" w14:textId="77777777" w:rsidR="00A76C93" w:rsidRPr="00F52A38" w:rsidRDefault="00A76C93" w:rsidP="00A76C93">
      <w:pPr>
        <w:numPr>
          <w:ilvl w:val="0"/>
          <w:numId w:val="1"/>
        </w:numPr>
        <w:spacing w:line="252" w:lineRule="auto"/>
        <w:ind w:left="0" w:firstLine="0"/>
        <w:jc w:val="both"/>
        <w:rPr>
          <w:rFonts w:ascii="Garamond" w:hAnsi="Garamond"/>
          <w:color w:val="000000" w:themeColor="text1"/>
        </w:rPr>
      </w:pPr>
    </w:p>
    <w:p w14:paraId="55A21425" w14:textId="0D984F1A" w:rsidR="00D534AB" w:rsidRPr="00A76C93" w:rsidRDefault="00D534AB" w:rsidP="001C3EA9">
      <w:pPr>
        <w:tabs>
          <w:tab w:val="left" w:pos="6440"/>
        </w:tabs>
        <w:spacing w:line="252" w:lineRule="auto"/>
        <w:jc w:val="both"/>
        <w:rPr>
          <w:rFonts w:ascii="Garamond" w:hAnsi="Garamond"/>
          <w:color w:val="000000" w:themeColor="text1"/>
        </w:rPr>
      </w:pPr>
    </w:p>
    <w:p w14:paraId="0DE1A1A4" w14:textId="2A352B48" w:rsidR="00A76C93" w:rsidRPr="00A76C93" w:rsidRDefault="00A76C93" w:rsidP="001C3EA9">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En effet, </w:t>
      </w:r>
      <w:r>
        <w:rPr>
          <w:rFonts w:ascii="Garamond" w:hAnsi="Garamond"/>
          <w:color w:val="000000" w:themeColor="text1"/>
        </w:rPr>
        <w:t>l</w:t>
      </w:r>
      <w:r w:rsidR="00F86CA7">
        <w:rPr>
          <w:rFonts w:ascii="Garamond" w:hAnsi="Garamond"/>
          <w:color w:val="000000" w:themeColor="text1"/>
        </w:rPr>
        <w:t>’</w:t>
      </w:r>
      <w:r>
        <w:rPr>
          <w:rFonts w:ascii="Garamond" w:hAnsi="Garamond"/>
          <w:color w:val="000000" w:themeColor="text1"/>
        </w:rPr>
        <w:t>injonction ne saurait être regardée comme pleinement exécutée, dès lors que les baisses d</w:t>
      </w:r>
      <w:r w:rsidR="00F86CA7">
        <w:rPr>
          <w:rFonts w:ascii="Garamond" w:hAnsi="Garamond"/>
          <w:color w:val="000000" w:themeColor="text1"/>
        </w:rPr>
        <w:t>’</w:t>
      </w:r>
      <w:r>
        <w:rPr>
          <w:rFonts w:ascii="Garamond" w:hAnsi="Garamond"/>
          <w:color w:val="000000" w:themeColor="text1"/>
        </w:rPr>
        <w:t>émission</w:t>
      </w:r>
      <w:r w:rsidR="00A07440">
        <w:rPr>
          <w:rFonts w:ascii="Garamond" w:hAnsi="Garamond"/>
          <w:color w:val="000000" w:themeColor="text1"/>
        </w:rPr>
        <w:t>s</w:t>
      </w:r>
      <w:r>
        <w:rPr>
          <w:rFonts w:ascii="Garamond" w:hAnsi="Garamond"/>
          <w:color w:val="000000" w:themeColor="text1"/>
        </w:rPr>
        <w:t xml:space="preserve"> constatées en 2021 et 2022 ne sont pas imputables à des </w:t>
      </w:r>
      <w:r w:rsidR="004746BB">
        <w:rPr>
          <w:rFonts w:ascii="Garamond" w:hAnsi="Garamond"/>
          <w:color w:val="000000" w:themeColor="text1"/>
        </w:rPr>
        <w:t xml:space="preserve">mesures, ou des </w:t>
      </w:r>
      <w:r>
        <w:rPr>
          <w:rFonts w:ascii="Garamond" w:hAnsi="Garamond"/>
          <w:color w:val="000000" w:themeColor="text1"/>
        </w:rPr>
        <w:t>actions</w:t>
      </w:r>
      <w:r w:rsidR="004746BB">
        <w:rPr>
          <w:rFonts w:ascii="Garamond" w:hAnsi="Garamond"/>
          <w:color w:val="000000" w:themeColor="text1"/>
        </w:rPr>
        <w:t>,</w:t>
      </w:r>
      <w:r>
        <w:rPr>
          <w:rFonts w:ascii="Garamond" w:hAnsi="Garamond"/>
          <w:color w:val="000000" w:themeColor="text1"/>
        </w:rPr>
        <w:t xml:space="preserve"> spécifique</w:t>
      </w:r>
      <w:r w:rsidR="004746BB">
        <w:rPr>
          <w:rFonts w:ascii="Garamond" w:hAnsi="Garamond"/>
          <w:color w:val="000000" w:themeColor="text1"/>
        </w:rPr>
        <w:t>ment</w:t>
      </w:r>
      <w:r>
        <w:rPr>
          <w:rFonts w:ascii="Garamond" w:hAnsi="Garamond"/>
          <w:color w:val="000000" w:themeColor="text1"/>
        </w:rPr>
        <w:t xml:space="preserve"> entreprises par l</w:t>
      </w:r>
      <w:r w:rsidR="00F86CA7">
        <w:rPr>
          <w:rFonts w:ascii="Garamond" w:hAnsi="Garamond"/>
          <w:color w:val="000000" w:themeColor="text1"/>
        </w:rPr>
        <w:t>’</w:t>
      </w:r>
      <w:r>
        <w:rPr>
          <w:rFonts w:ascii="Garamond" w:hAnsi="Garamond"/>
          <w:color w:val="000000" w:themeColor="text1"/>
        </w:rPr>
        <w:t xml:space="preserve">État pour réparer le préjudice écologique ou prévenir son aggravation. </w:t>
      </w:r>
    </w:p>
    <w:p w14:paraId="5966D295" w14:textId="77777777" w:rsidR="00A76C93" w:rsidRDefault="00A76C93" w:rsidP="001C3EA9">
      <w:pPr>
        <w:tabs>
          <w:tab w:val="left" w:pos="6440"/>
        </w:tabs>
        <w:spacing w:line="252" w:lineRule="auto"/>
        <w:jc w:val="both"/>
        <w:rPr>
          <w:rFonts w:ascii="Garamond" w:hAnsi="Garamond"/>
          <w:color w:val="000000" w:themeColor="text1"/>
        </w:rPr>
      </w:pPr>
    </w:p>
    <w:p w14:paraId="157A5643" w14:textId="73CEB153"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Ce constat est</w:t>
      </w:r>
      <w:r>
        <w:rPr>
          <w:rFonts w:ascii="Garamond" w:hAnsi="Garamond"/>
          <w:color w:val="000000" w:themeColor="text1"/>
        </w:rPr>
        <w:t xml:space="preserve">, </w:t>
      </w:r>
      <w:r w:rsidRPr="00A76C93">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abord</w:t>
      </w:r>
      <w:r>
        <w:rPr>
          <w:rFonts w:ascii="Garamond" w:hAnsi="Garamond"/>
          <w:color w:val="000000" w:themeColor="text1"/>
        </w:rPr>
        <w:t>,</w:t>
      </w:r>
      <w:r w:rsidRPr="00A76C93">
        <w:rPr>
          <w:rFonts w:ascii="Garamond" w:hAnsi="Garamond"/>
          <w:color w:val="000000" w:themeColor="text1"/>
        </w:rPr>
        <w:t xml:space="preserve"> unanimement partagé</w:t>
      </w:r>
      <w:r>
        <w:rPr>
          <w:rFonts w:ascii="Garamond" w:hAnsi="Garamond"/>
          <w:color w:val="000000" w:themeColor="text1"/>
        </w:rPr>
        <w:t>,</w:t>
      </w:r>
      <w:r w:rsidRPr="00A76C93">
        <w:rPr>
          <w:rFonts w:ascii="Garamond" w:hAnsi="Garamond"/>
          <w:color w:val="000000" w:themeColor="text1"/>
        </w:rPr>
        <w:t xml:space="preserve"> tant par les organes chargés de surveiller et de contrôler l</w:t>
      </w:r>
      <w:r w:rsidR="00F86CA7">
        <w:rPr>
          <w:rFonts w:ascii="Garamond" w:hAnsi="Garamond"/>
          <w:color w:val="000000" w:themeColor="text1"/>
        </w:rPr>
        <w:t>’</w:t>
      </w:r>
      <w:r w:rsidRPr="00A76C93">
        <w:rPr>
          <w:rFonts w:ascii="Garamond" w:hAnsi="Garamond"/>
          <w:color w:val="000000" w:themeColor="text1"/>
        </w:rPr>
        <w:t>efficacité des politiques publiques en matière climatique</w:t>
      </w:r>
      <w:r>
        <w:rPr>
          <w:rFonts w:ascii="Garamond" w:hAnsi="Garamond"/>
          <w:color w:val="000000" w:themeColor="text1"/>
        </w:rPr>
        <w:t>,</w:t>
      </w:r>
      <w:r w:rsidRPr="00A76C93">
        <w:rPr>
          <w:rFonts w:ascii="Garamond" w:hAnsi="Garamond"/>
          <w:color w:val="000000" w:themeColor="text1"/>
        </w:rPr>
        <w:t xml:space="preserve"> que par le Conseil d</w:t>
      </w:r>
      <w:r w:rsidR="00F86CA7">
        <w:rPr>
          <w:rFonts w:ascii="Garamond" w:hAnsi="Garamond"/>
          <w:color w:val="000000" w:themeColor="text1"/>
        </w:rPr>
        <w:t>’</w:t>
      </w:r>
      <w:r w:rsidRPr="00A76C93">
        <w:rPr>
          <w:rFonts w:ascii="Garamond" w:hAnsi="Garamond"/>
          <w:color w:val="000000" w:themeColor="text1"/>
        </w:rPr>
        <w:t>État (</w:t>
      </w:r>
      <w:r w:rsidRPr="00A76C93">
        <w:rPr>
          <w:rFonts w:ascii="Garamond" w:hAnsi="Garamond"/>
          <w:b/>
          <w:bCs/>
          <w:color w:val="000000" w:themeColor="text1"/>
        </w:rPr>
        <w:t>I.A</w:t>
      </w:r>
      <w:r w:rsidRPr="00A76C93">
        <w:rPr>
          <w:rFonts w:ascii="Garamond" w:hAnsi="Garamond"/>
          <w:color w:val="000000" w:themeColor="text1"/>
        </w:rPr>
        <w:t xml:space="preserve">). </w:t>
      </w:r>
    </w:p>
    <w:p w14:paraId="36146EC5" w14:textId="77777777" w:rsidR="00A76C93" w:rsidRPr="00A76C93" w:rsidRDefault="00A76C93" w:rsidP="00A76C93">
      <w:pPr>
        <w:tabs>
          <w:tab w:val="left" w:pos="6440"/>
        </w:tabs>
        <w:spacing w:line="252" w:lineRule="auto"/>
        <w:jc w:val="both"/>
        <w:rPr>
          <w:rFonts w:ascii="Garamond" w:hAnsi="Garamond"/>
          <w:color w:val="000000" w:themeColor="text1"/>
        </w:rPr>
      </w:pPr>
    </w:p>
    <w:p w14:paraId="114C0E67" w14:textId="4ABB0E2C"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Il est</w:t>
      </w:r>
      <w:r>
        <w:rPr>
          <w:rFonts w:ascii="Garamond" w:hAnsi="Garamond"/>
          <w:color w:val="000000" w:themeColor="text1"/>
        </w:rPr>
        <w:t xml:space="preserve">, ensuite, </w:t>
      </w:r>
      <w:r w:rsidRPr="00A76C93">
        <w:rPr>
          <w:rFonts w:ascii="Garamond" w:hAnsi="Garamond"/>
          <w:color w:val="000000" w:themeColor="text1"/>
        </w:rPr>
        <w:t>corroboré par des incohérences manifestes entre le volume des d</w:t>
      </w:r>
      <w:r w:rsidR="00F86CA7">
        <w:rPr>
          <w:rFonts w:ascii="Garamond" w:hAnsi="Garamond"/>
          <w:color w:val="000000" w:themeColor="text1"/>
        </w:rPr>
        <w:t>’</w:t>
      </w:r>
      <w:r w:rsidRPr="00A76C93">
        <w:rPr>
          <w:rFonts w:ascii="Garamond" w:hAnsi="Garamond"/>
          <w:color w:val="000000" w:themeColor="text1"/>
        </w:rPr>
        <w:t>émissions constatées et le degré de mise en œuvre des politiques qui étaient susceptibles de les justifier (</w:t>
      </w:r>
      <w:r w:rsidRPr="00A76C93">
        <w:rPr>
          <w:rFonts w:ascii="Garamond" w:hAnsi="Garamond"/>
          <w:b/>
          <w:bCs/>
          <w:color w:val="000000" w:themeColor="text1"/>
        </w:rPr>
        <w:t>I.B</w:t>
      </w:r>
      <w:r w:rsidRPr="00A76C93">
        <w:rPr>
          <w:rFonts w:ascii="Garamond" w:hAnsi="Garamond"/>
          <w:color w:val="000000" w:themeColor="text1"/>
        </w:rPr>
        <w:t xml:space="preserve">). </w:t>
      </w:r>
    </w:p>
    <w:p w14:paraId="652E83BA" w14:textId="77777777" w:rsidR="00A76C93" w:rsidRPr="00A76C93" w:rsidRDefault="00A76C93" w:rsidP="00A76C93">
      <w:pPr>
        <w:tabs>
          <w:tab w:val="left" w:pos="6440"/>
        </w:tabs>
        <w:spacing w:line="252" w:lineRule="auto"/>
        <w:jc w:val="both"/>
        <w:rPr>
          <w:rFonts w:ascii="Garamond" w:hAnsi="Garamond"/>
          <w:color w:val="000000" w:themeColor="text1"/>
        </w:rPr>
      </w:pPr>
    </w:p>
    <w:p w14:paraId="2DD13287" w14:textId="5E72FE1A"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Il s</w:t>
      </w:r>
      <w:r w:rsidR="00F86CA7">
        <w:rPr>
          <w:rFonts w:ascii="Garamond" w:hAnsi="Garamond"/>
          <w:color w:val="000000" w:themeColor="text1"/>
        </w:rPr>
        <w:t>’</w:t>
      </w:r>
      <w:r w:rsidRPr="00A76C93">
        <w:rPr>
          <w:rFonts w:ascii="Garamond" w:hAnsi="Garamond"/>
          <w:color w:val="000000" w:themeColor="text1"/>
        </w:rPr>
        <w:t>appuie</w:t>
      </w:r>
      <w:r>
        <w:rPr>
          <w:rFonts w:ascii="Garamond" w:hAnsi="Garamond"/>
          <w:color w:val="000000" w:themeColor="text1"/>
        </w:rPr>
        <w:t xml:space="preserve">, </w:t>
      </w:r>
      <w:r w:rsidRPr="00A76C93">
        <w:rPr>
          <w:rFonts w:ascii="Garamond" w:hAnsi="Garamond"/>
          <w:color w:val="000000" w:themeColor="text1"/>
        </w:rPr>
        <w:t>enfin</w:t>
      </w:r>
      <w:r>
        <w:rPr>
          <w:rFonts w:ascii="Garamond" w:hAnsi="Garamond"/>
          <w:color w:val="000000" w:themeColor="text1"/>
        </w:rPr>
        <w:t>,</w:t>
      </w:r>
      <w:r w:rsidRPr="00A76C93">
        <w:rPr>
          <w:rFonts w:ascii="Garamond" w:hAnsi="Garamond"/>
          <w:color w:val="000000" w:themeColor="text1"/>
        </w:rPr>
        <w:t xml:space="preserve"> sur l</w:t>
      </w:r>
      <w:r w:rsidR="00F86CA7">
        <w:rPr>
          <w:rFonts w:ascii="Garamond" w:hAnsi="Garamond"/>
          <w:color w:val="000000" w:themeColor="text1"/>
        </w:rPr>
        <w:t>’</w:t>
      </w:r>
      <w:r w:rsidRPr="00A76C93">
        <w:rPr>
          <w:rFonts w:ascii="Garamond" w:hAnsi="Garamond"/>
          <w:color w:val="000000" w:themeColor="text1"/>
        </w:rPr>
        <w:t>insuffisance des mesures adoptées par l</w:t>
      </w:r>
      <w:r w:rsidR="00F86CA7">
        <w:rPr>
          <w:rFonts w:ascii="Garamond" w:hAnsi="Garamond"/>
          <w:color w:val="000000" w:themeColor="text1"/>
        </w:rPr>
        <w:t>’</w:t>
      </w:r>
      <w:r w:rsidRPr="00A76C93">
        <w:rPr>
          <w:rFonts w:ascii="Garamond" w:hAnsi="Garamond"/>
          <w:color w:val="000000" w:themeColor="text1"/>
        </w:rPr>
        <w:t>État pour répondre à l</w:t>
      </w:r>
      <w:r w:rsidR="00F86CA7">
        <w:rPr>
          <w:rFonts w:ascii="Garamond" w:hAnsi="Garamond"/>
          <w:color w:val="000000" w:themeColor="text1"/>
        </w:rPr>
        <w:t>’</w:t>
      </w:r>
      <w:r w:rsidRPr="00A76C93">
        <w:rPr>
          <w:rFonts w:ascii="Garamond" w:hAnsi="Garamond"/>
          <w:color w:val="000000" w:themeColor="text1"/>
        </w:rPr>
        <w:t xml:space="preserve">injonction </w:t>
      </w:r>
      <w:r>
        <w:rPr>
          <w:rFonts w:ascii="Garamond" w:hAnsi="Garamond"/>
          <w:color w:val="000000" w:themeColor="text1"/>
        </w:rPr>
        <w:t>prononcée par le Tribunal administratif de Paris</w:t>
      </w:r>
      <w:r w:rsidRPr="00A76C93">
        <w:rPr>
          <w:rFonts w:ascii="Garamond" w:hAnsi="Garamond"/>
          <w:color w:val="000000" w:themeColor="text1"/>
        </w:rPr>
        <w:t>, ces mesures étant tout à la fois inadéquates et non spécifiques (</w:t>
      </w:r>
      <w:r w:rsidRPr="00A76C93">
        <w:rPr>
          <w:rFonts w:ascii="Garamond" w:hAnsi="Garamond"/>
          <w:b/>
          <w:bCs/>
          <w:color w:val="000000" w:themeColor="text1"/>
        </w:rPr>
        <w:t>I.C</w:t>
      </w:r>
      <w:r w:rsidRPr="00A76C93">
        <w:rPr>
          <w:rFonts w:ascii="Garamond" w:hAnsi="Garamond"/>
          <w:color w:val="000000" w:themeColor="text1"/>
        </w:rPr>
        <w:t xml:space="preserve">).  </w:t>
      </w:r>
    </w:p>
    <w:p w14:paraId="2D2DFECA" w14:textId="77777777" w:rsidR="00A76C93" w:rsidRDefault="00A76C93" w:rsidP="00A76C93">
      <w:pPr>
        <w:tabs>
          <w:tab w:val="left" w:pos="6440"/>
        </w:tabs>
        <w:spacing w:line="252" w:lineRule="auto"/>
        <w:jc w:val="both"/>
        <w:rPr>
          <w:rFonts w:ascii="Garamond" w:hAnsi="Garamond"/>
          <w:color w:val="000000" w:themeColor="text1"/>
        </w:rPr>
      </w:pPr>
    </w:p>
    <w:p w14:paraId="4DABE805" w14:textId="25E55B3F" w:rsidR="00A76C93" w:rsidRDefault="00A76C93">
      <w:pPr>
        <w:rPr>
          <w:rFonts w:ascii="Garamond" w:hAnsi="Garamond"/>
          <w:color w:val="000000" w:themeColor="text1"/>
        </w:rPr>
      </w:pPr>
      <w:r>
        <w:rPr>
          <w:rFonts w:ascii="Garamond" w:hAnsi="Garamond"/>
          <w:color w:val="000000" w:themeColor="text1"/>
        </w:rPr>
        <w:br w:type="page"/>
      </w:r>
    </w:p>
    <w:p w14:paraId="07B5D7DF" w14:textId="4C61A064" w:rsidR="00A76C93" w:rsidRPr="00A76C93" w:rsidRDefault="00A76C93" w:rsidP="00A76C93">
      <w:pPr>
        <w:pStyle w:val="Titre2"/>
        <w:spacing w:line="252" w:lineRule="auto"/>
        <w:ind w:left="851" w:right="0" w:hanging="851"/>
        <w:jc w:val="both"/>
        <w:rPr>
          <w:rFonts w:ascii="Garamond" w:hAnsi="Garamond"/>
          <w:i/>
          <w:iCs/>
          <w:color w:val="000000" w:themeColor="text1"/>
          <w:sz w:val="24"/>
          <w:szCs w:val="24"/>
          <w:u w:val="single"/>
        </w:rPr>
      </w:pPr>
      <w:r w:rsidRPr="00F64650">
        <w:rPr>
          <w:rFonts w:ascii="Garamond" w:hAnsi="Garamond"/>
          <w:smallCaps/>
          <w:color w:val="000000" w:themeColor="text1"/>
          <w:sz w:val="24"/>
          <w:szCs w:val="24"/>
        </w:rPr>
        <w:lastRenderedPageBreak/>
        <w:t xml:space="preserve">I.A] </w:t>
      </w:r>
      <w:r w:rsidRPr="00F64650">
        <w:rPr>
          <w:rFonts w:ascii="Garamond" w:hAnsi="Garamond"/>
          <w:smallCaps/>
          <w:color w:val="000000" w:themeColor="text1"/>
          <w:sz w:val="24"/>
          <w:szCs w:val="24"/>
        </w:rPr>
        <w:tab/>
      </w:r>
      <w:r w:rsidR="008325AB">
        <w:rPr>
          <w:rFonts w:ascii="Garamond" w:hAnsi="Garamond"/>
          <w:i/>
          <w:iCs/>
          <w:color w:val="000000" w:themeColor="text1"/>
          <w:sz w:val="24"/>
          <w:szCs w:val="24"/>
          <w:u w:val="single"/>
        </w:rPr>
        <w:t>S</w:t>
      </w:r>
      <w:r w:rsidRPr="00A76C93">
        <w:rPr>
          <w:rFonts w:ascii="Garamond" w:hAnsi="Garamond"/>
          <w:i/>
          <w:iCs/>
          <w:color w:val="000000" w:themeColor="text1"/>
          <w:sz w:val="24"/>
          <w:szCs w:val="24"/>
          <w:u w:val="single"/>
        </w:rPr>
        <w:t>ur l</w:t>
      </w:r>
      <w:r w:rsidR="00F86CA7">
        <w:rPr>
          <w:rFonts w:ascii="Garamond" w:hAnsi="Garamond"/>
          <w:i/>
          <w:iCs/>
          <w:color w:val="000000" w:themeColor="text1"/>
          <w:sz w:val="24"/>
          <w:szCs w:val="24"/>
          <w:u w:val="single"/>
        </w:rPr>
        <w:t>’</w:t>
      </w:r>
      <w:r w:rsidRPr="00A76C93">
        <w:rPr>
          <w:rFonts w:ascii="Garamond" w:hAnsi="Garamond"/>
          <w:i/>
          <w:iCs/>
          <w:color w:val="000000" w:themeColor="text1"/>
          <w:sz w:val="24"/>
          <w:szCs w:val="24"/>
          <w:u w:val="single"/>
        </w:rPr>
        <w:t>imputation partielle à l</w:t>
      </w:r>
      <w:r w:rsidR="00F86CA7">
        <w:rPr>
          <w:rFonts w:ascii="Garamond" w:hAnsi="Garamond"/>
          <w:i/>
          <w:iCs/>
          <w:color w:val="000000" w:themeColor="text1"/>
          <w:sz w:val="24"/>
          <w:szCs w:val="24"/>
          <w:u w:val="single"/>
        </w:rPr>
        <w:t>’</w:t>
      </w:r>
      <w:r w:rsidRPr="00A76C93">
        <w:rPr>
          <w:rFonts w:ascii="Garamond" w:hAnsi="Garamond"/>
          <w:i/>
          <w:iCs/>
          <w:color w:val="000000" w:themeColor="text1"/>
          <w:sz w:val="24"/>
          <w:szCs w:val="24"/>
          <w:u w:val="single"/>
        </w:rPr>
        <w:t>État des baisses d</w:t>
      </w:r>
      <w:r w:rsidR="00F86CA7">
        <w:rPr>
          <w:rFonts w:ascii="Garamond" w:hAnsi="Garamond"/>
          <w:i/>
          <w:iCs/>
          <w:color w:val="000000" w:themeColor="text1"/>
          <w:sz w:val="24"/>
          <w:szCs w:val="24"/>
          <w:u w:val="single"/>
        </w:rPr>
        <w:t>’</w:t>
      </w:r>
      <w:r w:rsidRPr="00A76C93">
        <w:rPr>
          <w:rFonts w:ascii="Garamond" w:hAnsi="Garamond"/>
          <w:i/>
          <w:iCs/>
          <w:color w:val="000000" w:themeColor="text1"/>
          <w:sz w:val="24"/>
          <w:szCs w:val="24"/>
          <w:u w:val="single"/>
        </w:rPr>
        <w:t xml:space="preserve">émissions constatées </w:t>
      </w:r>
    </w:p>
    <w:p w14:paraId="66274865" w14:textId="77777777" w:rsidR="00A76C93" w:rsidRDefault="00A76C93" w:rsidP="00A76C93">
      <w:pPr>
        <w:spacing w:line="252" w:lineRule="auto"/>
        <w:jc w:val="both"/>
        <w:rPr>
          <w:rFonts w:ascii="Garamond" w:hAnsi="Garamond"/>
        </w:rPr>
      </w:pPr>
    </w:p>
    <w:p w14:paraId="0C11485A" w14:textId="77777777" w:rsidR="00A76C93" w:rsidRPr="00F52A38" w:rsidRDefault="00A76C93" w:rsidP="00A76C93">
      <w:pPr>
        <w:numPr>
          <w:ilvl w:val="0"/>
          <w:numId w:val="1"/>
        </w:numPr>
        <w:spacing w:line="252" w:lineRule="auto"/>
        <w:ind w:left="0" w:firstLine="0"/>
        <w:jc w:val="both"/>
        <w:rPr>
          <w:rFonts w:ascii="Garamond" w:hAnsi="Garamond"/>
          <w:color w:val="000000" w:themeColor="text1"/>
        </w:rPr>
      </w:pPr>
    </w:p>
    <w:p w14:paraId="0E114944" w14:textId="77777777" w:rsidR="00A76C93" w:rsidRDefault="00A76C93" w:rsidP="00A76C93">
      <w:pPr>
        <w:tabs>
          <w:tab w:val="left" w:pos="6440"/>
        </w:tabs>
        <w:spacing w:line="252" w:lineRule="auto"/>
        <w:jc w:val="both"/>
        <w:rPr>
          <w:rFonts w:ascii="Garamond" w:hAnsi="Garamond"/>
          <w:color w:val="000000" w:themeColor="text1"/>
        </w:rPr>
      </w:pPr>
    </w:p>
    <w:p w14:paraId="149520F9" w14:textId="1D6E1FFE"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b/>
          <w:bCs/>
          <w:color w:val="000000" w:themeColor="text1"/>
          <w:u w:val="single"/>
        </w:rPr>
        <w:t>En premier lieu</w:t>
      </w:r>
      <w:r>
        <w:rPr>
          <w:rFonts w:ascii="Garamond" w:hAnsi="Garamond"/>
          <w:color w:val="000000" w:themeColor="text1"/>
        </w:rPr>
        <w:t>, i</w:t>
      </w:r>
      <w:r w:rsidRPr="00A76C93">
        <w:rPr>
          <w:rFonts w:ascii="Garamond" w:hAnsi="Garamond"/>
          <w:color w:val="000000" w:themeColor="text1"/>
        </w:rPr>
        <w:t xml:space="preserve">l </w:t>
      </w:r>
      <w:r>
        <w:rPr>
          <w:rFonts w:ascii="Garamond" w:hAnsi="Garamond"/>
          <w:color w:val="000000" w:themeColor="text1"/>
        </w:rPr>
        <w:t>apparaît que</w:t>
      </w:r>
      <w:r w:rsidRPr="00A76C93">
        <w:rPr>
          <w:rFonts w:ascii="Garamond" w:hAnsi="Garamond"/>
          <w:color w:val="000000" w:themeColor="text1"/>
        </w:rPr>
        <w:t xml:space="preserve"> le respect des </w:t>
      </w:r>
      <w:r>
        <w:rPr>
          <w:rFonts w:ascii="Garamond" w:hAnsi="Garamond"/>
          <w:color w:val="000000" w:themeColor="text1"/>
        </w:rPr>
        <w:t>parts annuelles indicatives fixées par la SNBC révisée</w:t>
      </w:r>
      <w:r w:rsidRPr="00A76C93">
        <w:rPr>
          <w:rFonts w:ascii="Garamond" w:hAnsi="Garamond"/>
          <w:color w:val="000000" w:themeColor="text1"/>
        </w:rPr>
        <w:t xml:space="preserve"> pour les années 2021 et 2022 </w:t>
      </w:r>
      <w:r>
        <w:rPr>
          <w:rFonts w:ascii="Garamond" w:hAnsi="Garamond"/>
          <w:color w:val="000000" w:themeColor="text1"/>
        </w:rPr>
        <w:t xml:space="preserve">repose, </w:t>
      </w:r>
      <w:r w:rsidRPr="00A76C93">
        <w:rPr>
          <w:rFonts w:ascii="Garamond" w:hAnsi="Garamond"/>
          <w:color w:val="000000" w:themeColor="text1"/>
        </w:rPr>
        <w:t>si</w:t>
      </w:r>
      <w:r>
        <w:rPr>
          <w:rFonts w:ascii="Garamond" w:hAnsi="Garamond"/>
          <w:color w:val="000000" w:themeColor="text1"/>
        </w:rPr>
        <w:t xml:space="preserve"> </w:t>
      </w:r>
      <w:r w:rsidRPr="00A76C93">
        <w:rPr>
          <w:rFonts w:ascii="Garamond" w:hAnsi="Garamond"/>
          <w:color w:val="000000" w:themeColor="text1"/>
        </w:rPr>
        <w:t>non exclusivement</w:t>
      </w:r>
      <w:r>
        <w:rPr>
          <w:rFonts w:ascii="Garamond" w:hAnsi="Garamond"/>
          <w:color w:val="000000" w:themeColor="text1"/>
        </w:rPr>
        <w:t>,</w:t>
      </w:r>
      <w:r w:rsidRPr="00A76C93">
        <w:rPr>
          <w:rFonts w:ascii="Garamond" w:hAnsi="Garamond"/>
          <w:color w:val="000000" w:themeColor="text1"/>
        </w:rPr>
        <w:t xml:space="preserve"> du moins pour partie</w:t>
      </w:r>
      <w:r>
        <w:rPr>
          <w:rFonts w:ascii="Garamond" w:hAnsi="Garamond"/>
          <w:color w:val="000000" w:themeColor="text1"/>
        </w:rPr>
        <w:t>,</w:t>
      </w:r>
      <w:r w:rsidRPr="00A76C93">
        <w:rPr>
          <w:rFonts w:ascii="Garamond" w:hAnsi="Garamond"/>
          <w:color w:val="000000" w:themeColor="text1"/>
        </w:rPr>
        <w:t xml:space="preserve"> </w:t>
      </w:r>
      <w:r>
        <w:rPr>
          <w:rFonts w:ascii="Garamond" w:hAnsi="Garamond"/>
          <w:color w:val="000000" w:themeColor="text1"/>
        </w:rPr>
        <w:t xml:space="preserve">sur </w:t>
      </w:r>
      <w:r w:rsidRPr="00A76C93">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autres phénomènes q</w:t>
      </w:r>
      <w:r>
        <w:rPr>
          <w:rFonts w:ascii="Garamond" w:hAnsi="Garamond"/>
          <w:color w:val="000000" w:themeColor="text1"/>
        </w:rPr>
        <w:t xml:space="preserve">ue les seules </w:t>
      </w:r>
      <w:r w:rsidRPr="00A76C93">
        <w:rPr>
          <w:rFonts w:ascii="Garamond" w:hAnsi="Garamond"/>
          <w:color w:val="000000" w:themeColor="text1"/>
        </w:rPr>
        <w:t>actions entreprises par l</w:t>
      </w:r>
      <w:r w:rsidR="00F86CA7">
        <w:rPr>
          <w:rFonts w:ascii="Garamond" w:hAnsi="Garamond"/>
          <w:color w:val="000000" w:themeColor="text1"/>
        </w:rPr>
        <w:t>’</w:t>
      </w:r>
      <w:r w:rsidRPr="00A76C93">
        <w:rPr>
          <w:rFonts w:ascii="Garamond" w:hAnsi="Garamond"/>
          <w:color w:val="000000" w:themeColor="text1"/>
        </w:rPr>
        <w:t xml:space="preserve">État. </w:t>
      </w:r>
    </w:p>
    <w:p w14:paraId="64A03A11" w14:textId="77777777" w:rsidR="00A76C93" w:rsidRPr="00A76C93" w:rsidRDefault="00A76C93" w:rsidP="00A76C93">
      <w:pPr>
        <w:tabs>
          <w:tab w:val="left" w:pos="6440"/>
        </w:tabs>
        <w:spacing w:line="252" w:lineRule="auto"/>
        <w:jc w:val="both"/>
        <w:rPr>
          <w:rFonts w:ascii="Garamond" w:hAnsi="Garamond"/>
          <w:color w:val="000000" w:themeColor="text1"/>
        </w:rPr>
      </w:pPr>
    </w:p>
    <w:p w14:paraId="381E9ED7" w14:textId="5E47AD93"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Dès lors, l</w:t>
      </w:r>
      <w:r>
        <w:rPr>
          <w:rFonts w:ascii="Garamond" w:hAnsi="Garamond"/>
          <w:color w:val="000000" w:themeColor="text1"/>
        </w:rPr>
        <w:t xml:space="preserve">e seul examen </w:t>
      </w:r>
      <w:r w:rsidRPr="00A76C93">
        <w:rPr>
          <w:rFonts w:ascii="Garamond" w:hAnsi="Garamond"/>
          <w:color w:val="000000" w:themeColor="text1"/>
        </w:rPr>
        <w:t>des données</w:t>
      </w:r>
      <w:r>
        <w:rPr>
          <w:rFonts w:ascii="Garamond" w:hAnsi="Garamond"/>
          <w:color w:val="000000" w:themeColor="text1"/>
        </w:rPr>
        <w:t xml:space="preserve"> chiffrées d</w:t>
      </w:r>
      <w:r w:rsidR="00F86CA7">
        <w:rPr>
          <w:rFonts w:ascii="Garamond" w:hAnsi="Garamond"/>
          <w:color w:val="000000" w:themeColor="text1"/>
        </w:rPr>
        <w:t>’</w:t>
      </w:r>
      <w:r>
        <w:rPr>
          <w:rFonts w:ascii="Garamond" w:hAnsi="Garamond"/>
          <w:color w:val="000000" w:themeColor="text1"/>
        </w:rPr>
        <w:t>émissions</w:t>
      </w:r>
      <w:r w:rsidRPr="00A76C93">
        <w:rPr>
          <w:rFonts w:ascii="Garamond" w:hAnsi="Garamond"/>
          <w:color w:val="000000" w:themeColor="text1"/>
        </w:rPr>
        <w:t xml:space="preserve"> ne </w:t>
      </w:r>
      <w:r>
        <w:rPr>
          <w:rFonts w:ascii="Garamond" w:hAnsi="Garamond"/>
          <w:color w:val="000000" w:themeColor="text1"/>
        </w:rPr>
        <w:t>permet pas d</w:t>
      </w:r>
      <w:r w:rsidR="00F86CA7">
        <w:rPr>
          <w:rFonts w:ascii="Garamond" w:hAnsi="Garamond"/>
          <w:color w:val="000000" w:themeColor="text1"/>
        </w:rPr>
        <w:t>’</w:t>
      </w:r>
      <w:r w:rsidRPr="00A76C93">
        <w:rPr>
          <w:rFonts w:ascii="Garamond" w:hAnsi="Garamond"/>
          <w:color w:val="000000" w:themeColor="text1"/>
        </w:rPr>
        <w:t>établir l</w:t>
      </w:r>
      <w:r w:rsidR="00F86CA7">
        <w:rPr>
          <w:rFonts w:ascii="Garamond" w:hAnsi="Garamond"/>
          <w:color w:val="000000" w:themeColor="text1"/>
        </w:rPr>
        <w:t>’</w:t>
      </w:r>
      <w:r>
        <w:rPr>
          <w:rFonts w:ascii="Garamond" w:hAnsi="Garamond"/>
          <w:color w:val="000000" w:themeColor="text1"/>
        </w:rPr>
        <w:t xml:space="preserve">efficacité </w:t>
      </w:r>
      <w:r w:rsidRPr="00A76C93">
        <w:rPr>
          <w:rFonts w:ascii="Garamond" w:hAnsi="Garamond"/>
          <w:color w:val="000000" w:themeColor="text1"/>
        </w:rPr>
        <w:t>des mesures entreprises par l</w:t>
      </w:r>
      <w:r w:rsidR="00F86CA7">
        <w:rPr>
          <w:rFonts w:ascii="Garamond" w:hAnsi="Garamond"/>
          <w:color w:val="000000" w:themeColor="text1"/>
        </w:rPr>
        <w:t>’</w:t>
      </w:r>
      <w:r w:rsidRPr="00A76C93">
        <w:rPr>
          <w:rFonts w:ascii="Garamond" w:hAnsi="Garamond"/>
          <w:color w:val="000000" w:themeColor="text1"/>
        </w:rPr>
        <w:t xml:space="preserve">État pour réparer le préjudice écologique </w:t>
      </w:r>
      <w:r>
        <w:rPr>
          <w:rFonts w:ascii="Garamond" w:hAnsi="Garamond"/>
          <w:color w:val="000000" w:themeColor="text1"/>
        </w:rPr>
        <w:t>lié au surplus d</w:t>
      </w:r>
      <w:r w:rsidR="00F86CA7">
        <w:rPr>
          <w:rFonts w:ascii="Garamond" w:hAnsi="Garamond"/>
          <w:color w:val="000000" w:themeColor="text1"/>
        </w:rPr>
        <w:t>’</w:t>
      </w:r>
      <w:r>
        <w:rPr>
          <w:rFonts w:ascii="Garamond" w:hAnsi="Garamond"/>
          <w:color w:val="000000" w:themeColor="text1"/>
        </w:rPr>
        <w:t>émissions de gaz à effet de serre résultant du dépassement du premier budget carbone et prévenir son aggravation, ni l</w:t>
      </w:r>
      <w:r w:rsidR="00F86CA7">
        <w:rPr>
          <w:rFonts w:ascii="Garamond" w:hAnsi="Garamond"/>
          <w:color w:val="000000" w:themeColor="text1"/>
        </w:rPr>
        <w:t>’</w:t>
      </w:r>
      <w:r>
        <w:rPr>
          <w:rFonts w:ascii="Garamond" w:hAnsi="Garamond"/>
          <w:color w:val="000000" w:themeColor="text1"/>
        </w:rPr>
        <w:t xml:space="preserve">imputabilité des baisses constatées auxdites mesures. </w:t>
      </w:r>
    </w:p>
    <w:p w14:paraId="2CFE7755" w14:textId="77777777" w:rsidR="00A76C93" w:rsidRDefault="00A76C93" w:rsidP="00A76C93">
      <w:pPr>
        <w:spacing w:line="252" w:lineRule="auto"/>
        <w:jc w:val="both"/>
        <w:rPr>
          <w:rFonts w:ascii="Garamond" w:hAnsi="Garamond"/>
        </w:rPr>
      </w:pPr>
    </w:p>
    <w:p w14:paraId="3934C8E1" w14:textId="77777777" w:rsidR="00A76C93" w:rsidRPr="00F52A38" w:rsidRDefault="00A76C93" w:rsidP="00A76C93">
      <w:pPr>
        <w:numPr>
          <w:ilvl w:val="0"/>
          <w:numId w:val="1"/>
        </w:numPr>
        <w:spacing w:line="252" w:lineRule="auto"/>
        <w:ind w:left="0" w:firstLine="0"/>
        <w:jc w:val="both"/>
        <w:rPr>
          <w:rFonts w:ascii="Garamond" w:hAnsi="Garamond"/>
          <w:color w:val="000000" w:themeColor="text1"/>
        </w:rPr>
      </w:pPr>
    </w:p>
    <w:p w14:paraId="390B20C7" w14:textId="77777777" w:rsidR="00A76C93" w:rsidRDefault="00A76C93" w:rsidP="00A76C93">
      <w:pPr>
        <w:tabs>
          <w:tab w:val="left" w:pos="6440"/>
        </w:tabs>
        <w:spacing w:line="252" w:lineRule="auto"/>
        <w:jc w:val="both"/>
        <w:rPr>
          <w:rFonts w:ascii="Garamond" w:hAnsi="Garamond"/>
          <w:color w:val="000000" w:themeColor="text1"/>
        </w:rPr>
      </w:pPr>
    </w:p>
    <w:p w14:paraId="09C0624B" w14:textId="29598685"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Ce constat ressort</w:t>
      </w:r>
      <w:r>
        <w:rPr>
          <w:rFonts w:ascii="Garamond" w:hAnsi="Garamond"/>
          <w:color w:val="000000" w:themeColor="text1"/>
        </w:rPr>
        <w:t xml:space="preserve">, </w:t>
      </w:r>
      <w:r w:rsidRPr="00A76C93">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abord</w:t>
      </w:r>
      <w:r>
        <w:rPr>
          <w:rFonts w:ascii="Garamond" w:hAnsi="Garamond"/>
          <w:color w:val="000000" w:themeColor="text1"/>
        </w:rPr>
        <w:t>,</w:t>
      </w:r>
      <w:r w:rsidRPr="00A76C93">
        <w:rPr>
          <w:rFonts w:ascii="Garamond" w:hAnsi="Garamond"/>
          <w:color w:val="000000" w:themeColor="text1"/>
        </w:rPr>
        <w:t xml:space="preserve"> du rapport </w:t>
      </w:r>
      <w:r>
        <w:rPr>
          <w:rFonts w:ascii="Garamond" w:hAnsi="Garamond"/>
          <w:color w:val="000000" w:themeColor="text1"/>
        </w:rPr>
        <w:t>annuel</w:t>
      </w:r>
      <w:r w:rsidRPr="00A76C93">
        <w:rPr>
          <w:rFonts w:ascii="Garamond" w:hAnsi="Garamond"/>
          <w:color w:val="000000" w:themeColor="text1"/>
        </w:rPr>
        <w:t xml:space="preserve"> du Haut Conseil pour le Climat (HCC)</w:t>
      </w:r>
      <w:r>
        <w:rPr>
          <w:rFonts w:ascii="Garamond" w:hAnsi="Garamond"/>
          <w:color w:val="000000" w:themeColor="text1"/>
        </w:rPr>
        <w:t>, publié</w:t>
      </w:r>
      <w:r w:rsidRPr="00A76C93">
        <w:rPr>
          <w:rFonts w:ascii="Garamond" w:hAnsi="Garamond"/>
          <w:color w:val="000000" w:themeColor="text1"/>
        </w:rPr>
        <w:t xml:space="preserve"> pour </w:t>
      </w:r>
      <w:r>
        <w:rPr>
          <w:rFonts w:ascii="Garamond" w:hAnsi="Garamond"/>
          <w:color w:val="000000" w:themeColor="text1"/>
        </w:rPr>
        <w:t>l</w:t>
      </w:r>
      <w:r w:rsidR="00F86CA7">
        <w:rPr>
          <w:rFonts w:ascii="Garamond" w:hAnsi="Garamond"/>
          <w:color w:val="000000" w:themeColor="text1"/>
        </w:rPr>
        <w:t>’</w:t>
      </w:r>
      <w:r>
        <w:rPr>
          <w:rFonts w:ascii="Garamond" w:hAnsi="Garamond"/>
          <w:color w:val="000000" w:themeColor="text1"/>
        </w:rPr>
        <w:t xml:space="preserve">année 2022. </w:t>
      </w:r>
    </w:p>
    <w:p w14:paraId="348795F6" w14:textId="77777777" w:rsidR="00A76C93" w:rsidRPr="00A76C93" w:rsidRDefault="00A76C93" w:rsidP="00A76C93">
      <w:pPr>
        <w:tabs>
          <w:tab w:val="left" w:pos="6440"/>
        </w:tabs>
        <w:spacing w:line="252" w:lineRule="auto"/>
        <w:jc w:val="both"/>
        <w:rPr>
          <w:rFonts w:ascii="Garamond" w:hAnsi="Garamond"/>
          <w:color w:val="000000" w:themeColor="text1"/>
        </w:rPr>
      </w:pPr>
    </w:p>
    <w:p w14:paraId="5090D97B" w14:textId="151A16AD"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Dans </w:t>
      </w:r>
      <w:r>
        <w:rPr>
          <w:rFonts w:ascii="Garamond" w:hAnsi="Garamond"/>
          <w:color w:val="000000" w:themeColor="text1"/>
        </w:rPr>
        <w:t>ce rapport, intitulé « </w:t>
      </w:r>
      <w:r w:rsidRPr="00A76C93">
        <w:rPr>
          <w:rFonts w:ascii="Garamond" w:hAnsi="Garamond"/>
          <w:i/>
          <w:iCs/>
          <w:color w:val="000000" w:themeColor="text1"/>
        </w:rPr>
        <w:t>Dépasser les constats, mettre en œuvre les solutions</w:t>
      </w:r>
      <w:r>
        <w:rPr>
          <w:rFonts w:ascii="Garamond" w:hAnsi="Garamond"/>
          <w:color w:val="000000" w:themeColor="text1"/>
        </w:rPr>
        <w:t> »,</w:t>
      </w:r>
      <w:r w:rsidRPr="00A76C93">
        <w:rPr>
          <w:rFonts w:ascii="Garamond" w:hAnsi="Garamond"/>
          <w:color w:val="000000" w:themeColor="text1"/>
        </w:rPr>
        <w:t xml:space="preserve"> le Haut Conseil </w:t>
      </w:r>
      <w:r>
        <w:rPr>
          <w:rFonts w:ascii="Garamond" w:hAnsi="Garamond"/>
          <w:color w:val="000000" w:themeColor="text1"/>
        </w:rPr>
        <w:t xml:space="preserve">pour le Climat </w:t>
      </w:r>
      <w:r w:rsidRPr="00A76C93">
        <w:rPr>
          <w:rFonts w:ascii="Garamond" w:hAnsi="Garamond"/>
          <w:color w:val="000000" w:themeColor="text1"/>
        </w:rPr>
        <w:t xml:space="preserve">observait </w:t>
      </w:r>
      <w:r>
        <w:rPr>
          <w:rFonts w:ascii="Garamond" w:hAnsi="Garamond"/>
          <w:color w:val="000000" w:themeColor="text1"/>
        </w:rPr>
        <w:t xml:space="preserve">ainsi </w:t>
      </w:r>
      <w:r w:rsidRPr="00A76C93">
        <w:rPr>
          <w:rFonts w:ascii="Garamond" w:hAnsi="Garamond"/>
          <w:color w:val="000000" w:themeColor="text1"/>
        </w:rPr>
        <w:t>que, sur la période 2019-2021, les émissions de gaz à effet de serre, bien qu</w:t>
      </w:r>
      <w:r w:rsidR="00F86CA7">
        <w:rPr>
          <w:rFonts w:ascii="Garamond" w:hAnsi="Garamond"/>
          <w:color w:val="000000" w:themeColor="text1"/>
        </w:rPr>
        <w:t>’</w:t>
      </w:r>
      <w:r w:rsidRPr="00A76C93">
        <w:rPr>
          <w:rFonts w:ascii="Garamond" w:hAnsi="Garamond"/>
          <w:color w:val="000000" w:themeColor="text1"/>
        </w:rPr>
        <w:t xml:space="preserve">inférieures au plafond moyen prévu par le deuxième budget carbone établi par la SNBC </w:t>
      </w:r>
      <w:r>
        <w:rPr>
          <w:rFonts w:ascii="Garamond" w:hAnsi="Garamond"/>
          <w:color w:val="000000" w:themeColor="text1"/>
        </w:rPr>
        <w:t>révisée</w:t>
      </w:r>
      <w:r w:rsidRPr="00A76C93">
        <w:rPr>
          <w:rFonts w:ascii="Garamond" w:hAnsi="Garamond"/>
          <w:color w:val="000000" w:themeColor="text1"/>
        </w:rPr>
        <w:t>, ne devaient pas être regardées comme un signal de l</w:t>
      </w:r>
      <w:r w:rsidR="00F86CA7">
        <w:rPr>
          <w:rFonts w:ascii="Garamond" w:hAnsi="Garamond"/>
          <w:color w:val="000000" w:themeColor="text1"/>
        </w:rPr>
        <w:t>’</w:t>
      </w:r>
      <w:r w:rsidRPr="00A76C93">
        <w:rPr>
          <w:rFonts w:ascii="Garamond" w:hAnsi="Garamond"/>
          <w:color w:val="000000" w:themeColor="text1"/>
        </w:rPr>
        <w:t>adéquation de l</w:t>
      </w:r>
      <w:r w:rsidR="00F86CA7">
        <w:rPr>
          <w:rFonts w:ascii="Garamond" w:hAnsi="Garamond"/>
          <w:color w:val="000000" w:themeColor="text1"/>
        </w:rPr>
        <w:t>’</w:t>
      </w:r>
      <w:r w:rsidRPr="00A76C93">
        <w:rPr>
          <w:rFonts w:ascii="Garamond" w:hAnsi="Garamond"/>
          <w:color w:val="000000" w:themeColor="text1"/>
        </w:rPr>
        <w:t>action de l</w:t>
      </w:r>
      <w:r w:rsidR="00F86CA7">
        <w:rPr>
          <w:rFonts w:ascii="Garamond" w:hAnsi="Garamond"/>
          <w:color w:val="000000" w:themeColor="text1"/>
        </w:rPr>
        <w:t>’</w:t>
      </w:r>
      <w:r w:rsidRPr="00A76C93">
        <w:rPr>
          <w:rFonts w:ascii="Garamond" w:hAnsi="Garamond"/>
          <w:color w:val="000000" w:themeColor="text1"/>
        </w:rPr>
        <w:t xml:space="preserve">État aux objectifs fixés par </w:t>
      </w:r>
      <w:r>
        <w:rPr>
          <w:rFonts w:ascii="Garamond" w:hAnsi="Garamond"/>
          <w:color w:val="000000" w:themeColor="text1"/>
        </w:rPr>
        <w:t xml:space="preserve">cette dernière. </w:t>
      </w:r>
      <w:r w:rsidRPr="00A76C93">
        <w:rPr>
          <w:rFonts w:ascii="Garamond" w:hAnsi="Garamond"/>
          <w:color w:val="000000" w:themeColor="text1"/>
        </w:rPr>
        <w:t xml:space="preserve"> </w:t>
      </w:r>
    </w:p>
    <w:p w14:paraId="5FF418BA" w14:textId="77777777" w:rsidR="00A76C93" w:rsidRPr="00A76C93" w:rsidRDefault="00A76C93" w:rsidP="00A76C93">
      <w:pPr>
        <w:tabs>
          <w:tab w:val="left" w:pos="6440"/>
        </w:tabs>
        <w:spacing w:line="252" w:lineRule="auto"/>
        <w:jc w:val="both"/>
        <w:rPr>
          <w:rFonts w:ascii="Garamond" w:hAnsi="Garamond"/>
          <w:color w:val="000000" w:themeColor="text1"/>
        </w:rPr>
      </w:pPr>
    </w:p>
    <w:p w14:paraId="565BD368" w14:textId="346ABE2B" w:rsidR="00A76C93" w:rsidRPr="00F52A38"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Au contraire, </w:t>
      </w:r>
      <w:r>
        <w:rPr>
          <w:rFonts w:ascii="Garamond" w:hAnsi="Garamond"/>
          <w:color w:val="000000" w:themeColor="text1"/>
        </w:rPr>
        <w:t>il observait que</w:t>
      </w:r>
      <w:r w:rsidRPr="00A76C93">
        <w:rPr>
          <w:rFonts w:ascii="Garamond" w:hAnsi="Garamond"/>
          <w:color w:val="000000" w:themeColor="text1"/>
        </w:rPr>
        <w:t xml:space="preserve"> cette diminution était « </w:t>
      </w:r>
      <w:r w:rsidRPr="00A76C93">
        <w:rPr>
          <w:rFonts w:ascii="Garamond" w:hAnsi="Garamond"/>
          <w:i/>
          <w:iCs/>
          <w:color w:val="000000" w:themeColor="text1"/>
        </w:rPr>
        <w:t>principalement due aux effets de la pandémie de Covid 19 ainsi qu</w:t>
      </w:r>
      <w:r w:rsidR="00F86CA7">
        <w:rPr>
          <w:rFonts w:ascii="Garamond" w:hAnsi="Garamond"/>
          <w:i/>
          <w:iCs/>
          <w:color w:val="000000" w:themeColor="text1"/>
        </w:rPr>
        <w:t>’</w:t>
      </w:r>
      <w:r w:rsidRPr="00A76C93">
        <w:rPr>
          <w:rFonts w:ascii="Garamond" w:hAnsi="Garamond"/>
          <w:i/>
          <w:iCs/>
          <w:color w:val="000000" w:themeColor="text1"/>
        </w:rPr>
        <w:t>au relèvement du plafond d</w:t>
      </w:r>
      <w:r w:rsidR="00F86CA7">
        <w:rPr>
          <w:rFonts w:ascii="Garamond" w:hAnsi="Garamond"/>
          <w:i/>
          <w:iCs/>
          <w:color w:val="000000" w:themeColor="text1"/>
        </w:rPr>
        <w:t>’</w:t>
      </w:r>
      <w:r w:rsidRPr="00A76C93">
        <w:rPr>
          <w:rFonts w:ascii="Garamond" w:hAnsi="Garamond"/>
          <w:i/>
          <w:iCs/>
          <w:color w:val="000000" w:themeColor="text1"/>
        </w:rPr>
        <w:t xml:space="preserve">émission du deuxième budget carbone lors de la révision de la </w:t>
      </w:r>
      <w:r w:rsidRPr="00A76C93">
        <w:rPr>
          <w:rFonts w:ascii="Garamond" w:hAnsi="Garamond"/>
          <w:iCs/>
          <w:color w:val="000000" w:themeColor="text1"/>
        </w:rPr>
        <w:t>SNBC2 »</w:t>
      </w:r>
      <w:r>
        <w:rPr>
          <w:rFonts w:ascii="Garamond" w:hAnsi="Garamond"/>
          <w:iCs/>
          <w:color w:val="000000" w:themeColor="text1"/>
        </w:rPr>
        <w:t xml:space="preserve">. Il ajoutait que </w:t>
      </w:r>
      <w:r w:rsidRPr="00A76C93">
        <w:rPr>
          <w:rFonts w:ascii="Garamond" w:hAnsi="Garamond"/>
          <w:iCs/>
          <w:color w:val="000000" w:themeColor="text1"/>
        </w:rPr>
        <w:t xml:space="preserve">cet effet conjoncturel </w:t>
      </w:r>
      <w:r>
        <w:rPr>
          <w:rFonts w:ascii="Garamond" w:hAnsi="Garamond"/>
          <w:iCs/>
          <w:color w:val="000000" w:themeColor="text1"/>
        </w:rPr>
        <w:t>s</w:t>
      </w:r>
      <w:r w:rsidR="00F86CA7">
        <w:rPr>
          <w:rFonts w:ascii="Garamond" w:hAnsi="Garamond"/>
          <w:iCs/>
          <w:color w:val="000000" w:themeColor="text1"/>
        </w:rPr>
        <w:t>’</w:t>
      </w:r>
      <w:r>
        <w:rPr>
          <w:rFonts w:ascii="Garamond" w:hAnsi="Garamond"/>
          <w:iCs/>
          <w:color w:val="000000" w:themeColor="text1"/>
        </w:rPr>
        <w:t>était prolongé</w:t>
      </w:r>
      <w:r w:rsidRPr="00A76C93">
        <w:rPr>
          <w:rFonts w:ascii="Garamond" w:hAnsi="Garamond"/>
          <w:iCs/>
          <w:color w:val="000000" w:themeColor="text1"/>
        </w:rPr>
        <w:t xml:space="preserve"> sur l</w:t>
      </w:r>
      <w:r w:rsidR="00F86CA7">
        <w:rPr>
          <w:rFonts w:ascii="Garamond" w:hAnsi="Garamond"/>
          <w:iCs/>
          <w:color w:val="000000" w:themeColor="text1"/>
        </w:rPr>
        <w:t>’</w:t>
      </w:r>
      <w:r w:rsidRPr="00A76C93">
        <w:rPr>
          <w:rFonts w:ascii="Garamond" w:hAnsi="Garamond"/>
          <w:iCs/>
          <w:color w:val="000000" w:themeColor="text1"/>
        </w:rPr>
        <w:t>année 2021</w:t>
      </w:r>
      <w:r>
        <w:rPr>
          <w:rFonts w:ascii="Garamond" w:hAnsi="Garamond"/>
          <w:iCs/>
          <w:color w:val="000000" w:themeColor="text1"/>
        </w:rPr>
        <w:t>,</w:t>
      </w:r>
      <w:r w:rsidRPr="00A76C93">
        <w:rPr>
          <w:rFonts w:ascii="Garamond" w:hAnsi="Garamond"/>
          <w:iCs/>
          <w:color w:val="000000" w:themeColor="text1"/>
        </w:rPr>
        <w:t xml:space="preserve"> dès lors que « </w:t>
      </w:r>
      <w:r w:rsidRPr="00A76C93">
        <w:rPr>
          <w:rFonts w:ascii="Garamond" w:hAnsi="Garamond"/>
          <w:i/>
          <w:iCs/>
          <w:color w:val="000000" w:themeColor="text1"/>
        </w:rPr>
        <w:t>la reprise encore partielle des activités en 2021 complexifie l</w:t>
      </w:r>
      <w:r w:rsidR="00F86CA7">
        <w:rPr>
          <w:rFonts w:ascii="Garamond" w:hAnsi="Garamond"/>
          <w:i/>
          <w:iCs/>
          <w:color w:val="000000" w:themeColor="text1"/>
        </w:rPr>
        <w:t>’</w:t>
      </w:r>
      <w:r w:rsidRPr="00A76C93">
        <w:rPr>
          <w:rFonts w:ascii="Garamond" w:hAnsi="Garamond"/>
          <w:i/>
          <w:iCs/>
          <w:color w:val="000000" w:themeColor="text1"/>
        </w:rPr>
        <w:t>identification de la contribution des effets des politiques d</w:t>
      </w:r>
      <w:r w:rsidR="00F86CA7">
        <w:rPr>
          <w:rFonts w:ascii="Garamond" w:hAnsi="Garamond"/>
          <w:i/>
          <w:iCs/>
          <w:color w:val="000000" w:themeColor="text1"/>
        </w:rPr>
        <w:t>’</w:t>
      </w:r>
      <w:r w:rsidRPr="00A76C93">
        <w:rPr>
          <w:rFonts w:ascii="Garamond" w:hAnsi="Garamond"/>
          <w:i/>
          <w:iCs/>
          <w:color w:val="000000" w:themeColor="text1"/>
        </w:rPr>
        <w:t>atténuation</w:t>
      </w:r>
      <w:r w:rsidRPr="00A76C93">
        <w:rPr>
          <w:rFonts w:ascii="Garamond" w:hAnsi="Garamond"/>
          <w:color w:val="000000" w:themeColor="text1"/>
        </w:rPr>
        <w:t xml:space="preserve"> » (Haut Conseil pour le Climat, </w:t>
      </w:r>
      <w:r w:rsidRPr="00A76C93">
        <w:rPr>
          <w:rFonts w:ascii="Garamond" w:hAnsi="Garamond"/>
          <w:i/>
          <w:iCs/>
          <w:color w:val="000000" w:themeColor="text1"/>
        </w:rPr>
        <w:t>Dépasser les constats, mettre en œuvre les solutions</w:t>
      </w:r>
      <w:r w:rsidRPr="00A76C93">
        <w:rPr>
          <w:rFonts w:ascii="Garamond" w:hAnsi="Garamond"/>
          <w:color w:val="000000" w:themeColor="text1"/>
        </w:rPr>
        <w:t xml:space="preserve">, juin 2022, p.6).  </w:t>
      </w:r>
    </w:p>
    <w:p w14:paraId="1BCA24B6" w14:textId="77777777" w:rsidR="00A76C93" w:rsidRDefault="00A76C93" w:rsidP="00A76C93">
      <w:pPr>
        <w:tabs>
          <w:tab w:val="left" w:pos="6440"/>
        </w:tabs>
        <w:spacing w:line="252" w:lineRule="auto"/>
        <w:jc w:val="both"/>
        <w:rPr>
          <w:rFonts w:ascii="Garamond" w:hAnsi="Garamond"/>
          <w:color w:val="000000" w:themeColor="text1"/>
        </w:rPr>
      </w:pPr>
    </w:p>
    <w:p w14:paraId="0A0B7B7C" w14:textId="4A492863" w:rsidR="00A76C93" w:rsidRP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De même, si, dans son rapport Secten de juin 2022, l</w:t>
      </w:r>
      <w:r w:rsidRPr="00A76C93">
        <w:rPr>
          <w:rFonts w:ascii="Garamond" w:hAnsi="Garamond"/>
          <w:color w:val="000000" w:themeColor="text1"/>
        </w:rPr>
        <w:t>e CITEPA qualifi</w:t>
      </w:r>
      <w:r>
        <w:rPr>
          <w:rFonts w:ascii="Garamond" w:hAnsi="Garamond"/>
          <w:color w:val="000000" w:themeColor="text1"/>
        </w:rPr>
        <w:t xml:space="preserve">ait </w:t>
      </w:r>
      <w:r w:rsidRPr="00A76C93">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 </w:t>
      </w:r>
      <w:r w:rsidRPr="00A76C93">
        <w:rPr>
          <w:rFonts w:ascii="Garamond" w:hAnsi="Garamond"/>
          <w:i/>
          <w:color w:val="000000" w:themeColor="text1"/>
        </w:rPr>
        <w:t>années exceptionnelles</w:t>
      </w:r>
      <w:r w:rsidRPr="00A76C93">
        <w:rPr>
          <w:rFonts w:ascii="Garamond" w:hAnsi="Garamond"/>
          <w:color w:val="000000" w:themeColor="text1"/>
        </w:rPr>
        <w:t> » les années 2020 et 2021</w:t>
      </w:r>
      <w:r>
        <w:rPr>
          <w:rFonts w:ascii="Garamond" w:hAnsi="Garamond"/>
          <w:color w:val="000000" w:themeColor="text1"/>
        </w:rPr>
        <w:t xml:space="preserve">, et relevait </w:t>
      </w:r>
      <w:r w:rsidRPr="00A76C93">
        <w:rPr>
          <w:rFonts w:ascii="Garamond" w:hAnsi="Garamond"/>
          <w:color w:val="000000" w:themeColor="text1"/>
        </w:rPr>
        <w:t>que le volume d</w:t>
      </w:r>
      <w:r w:rsidR="00F86CA7">
        <w:rPr>
          <w:rFonts w:ascii="Garamond" w:hAnsi="Garamond"/>
          <w:color w:val="000000" w:themeColor="text1"/>
        </w:rPr>
        <w:t>’</w:t>
      </w:r>
      <w:r w:rsidRPr="00A76C93">
        <w:rPr>
          <w:rFonts w:ascii="Garamond" w:hAnsi="Garamond"/>
          <w:color w:val="000000" w:themeColor="text1"/>
        </w:rPr>
        <w:t xml:space="preserve">émissions </w:t>
      </w:r>
      <w:r>
        <w:rPr>
          <w:rFonts w:ascii="Garamond" w:hAnsi="Garamond"/>
          <w:color w:val="000000" w:themeColor="text1"/>
        </w:rPr>
        <w:t xml:space="preserve">observé </w:t>
      </w:r>
      <w:r w:rsidRPr="00A76C93">
        <w:rPr>
          <w:rFonts w:ascii="Garamond" w:hAnsi="Garamond"/>
          <w:color w:val="000000" w:themeColor="text1"/>
        </w:rPr>
        <w:t xml:space="preserve">en 2021 </w:t>
      </w:r>
      <w:r>
        <w:rPr>
          <w:rFonts w:ascii="Garamond" w:hAnsi="Garamond"/>
          <w:color w:val="000000" w:themeColor="text1"/>
        </w:rPr>
        <w:t>demeurait inférieur à celui relevé en 2019, il soulignait l</w:t>
      </w:r>
      <w:r w:rsidR="00F86CA7">
        <w:rPr>
          <w:rFonts w:ascii="Garamond" w:hAnsi="Garamond"/>
          <w:color w:val="000000" w:themeColor="text1"/>
        </w:rPr>
        <w:t>’</w:t>
      </w:r>
      <w:r>
        <w:rPr>
          <w:rFonts w:ascii="Garamond" w:hAnsi="Garamond"/>
          <w:color w:val="000000" w:themeColor="text1"/>
        </w:rPr>
        <w:t>existence d</w:t>
      </w:r>
      <w:r w:rsidR="00F86CA7">
        <w:rPr>
          <w:rFonts w:ascii="Garamond" w:hAnsi="Garamond"/>
          <w:color w:val="000000" w:themeColor="text1"/>
        </w:rPr>
        <w:t>’</w:t>
      </w:r>
      <w:r w:rsidRPr="00A76C93">
        <w:rPr>
          <w:rFonts w:ascii="Garamond" w:hAnsi="Garamond"/>
          <w:color w:val="000000" w:themeColor="text1"/>
        </w:rPr>
        <w:t>un rebond conséquent du volume d</w:t>
      </w:r>
      <w:r w:rsidR="00F86CA7">
        <w:rPr>
          <w:rFonts w:ascii="Garamond" w:hAnsi="Garamond"/>
          <w:color w:val="000000" w:themeColor="text1"/>
        </w:rPr>
        <w:t>’</w:t>
      </w:r>
      <w:r w:rsidRPr="00A76C93">
        <w:rPr>
          <w:rFonts w:ascii="Garamond" w:hAnsi="Garamond"/>
          <w:color w:val="000000" w:themeColor="text1"/>
        </w:rPr>
        <w:t xml:space="preserve">émissions </w:t>
      </w:r>
      <w:r>
        <w:rPr>
          <w:rFonts w:ascii="Garamond" w:hAnsi="Garamond"/>
          <w:color w:val="000000" w:themeColor="text1"/>
        </w:rPr>
        <w:t xml:space="preserve">en </w:t>
      </w:r>
      <w:r w:rsidRPr="00A76C93">
        <w:rPr>
          <w:rFonts w:ascii="Garamond" w:hAnsi="Garamond"/>
          <w:color w:val="000000" w:themeColor="text1"/>
        </w:rPr>
        <w:t>2021, matérialisant à nouveau l</w:t>
      </w:r>
      <w:r w:rsidR="00F86CA7">
        <w:rPr>
          <w:rFonts w:ascii="Garamond" w:hAnsi="Garamond"/>
          <w:color w:val="000000" w:themeColor="text1"/>
        </w:rPr>
        <w:t>’</w:t>
      </w:r>
      <w:r w:rsidRPr="00A76C93">
        <w:rPr>
          <w:rFonts w:ascii="Garamond" w:hAnsi="Garamond"/>
          <w:color w:val="000000" w:themeColor="text1"/>
        </w:rPr>
        <w:t xml:space="preserve">impact de la conjoncture sur le respect des tranches annuelles indicatives. </w:t>
      </w:r>
    </w:p>
    <w:p w14:paraId="758CF80B" w14:textId="77777777" w:rsidR="00A76C93" w:rsidRPr="00A76C93" w:rsidRDefault="00A76C93" w:rsidP="00A76C93">
      <w:pPr>
        <w:tabs>
          <w:tab w:val="left" w:pos="6440"/>
        </w:tabs>
        <w:spacing w:line="252" w:lineRule="auto"/>
        <w:jc w:val="both"/>
        <w:rPr>
          <w:rFonts w:ascii="Garamond" w:hAnsi="Garamond"/>
          <w:color w:val="000000" w:themeColor="text1"/>
        </w:rPr>
      </w:pPr>
    </w:p>
    <w:p w14:paraId="3C14C072" w14:textId="76BC06E6"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En ce sens, il </w:t>
      </w:r>
      <w:r>
        <w:rPr>
          <w:rFonts w:ascii="Garamond" w:hAnsi="Garamond"/>
          <w:color w:val="000000" w:themeColor="text1"/>
        </w:rPr>
        <w:t>observait</w:t>
      </w:r>
      <w:r w:rsidRPr="00A76C93">
        <w:rPr>
          <w:rFonts w:ascii="Garamond" w:hAnsi="Garamond"/>
          <w:color w:val="000000" w:themeColor="text1"/>
        </w:rPr>
        <w:t xml:space="preserve"> que « </w:t>
      </w:r>
      <w:r w:rsidRPr="00A76C93">
        <w:rPr>
          <w:rFonts w:ascii="Garamond" w:hAnsi="Garamond"/>
          <w:i/>
          <w:iCs/>
          <w:color w:val="000000" w:themeColor="text1"/>
        </w:rPr>
        <w:t xml:space="preserve">la forte baisse des émissions en 2020 étant principalement liée à des causes conjoncturelles temporaires, les émissions sont </w:t>
      </w:r>
      <w:r w:rsidRPr="00A76C93">
        <w:rPr>
          <w:rFonts w:ascii="Garamond" w:hAnsi="Garamond"/>
          <w:color w:val="000000" w:themeColor="text1"/>
        </w:rPr>
        <w:t>[logiquement]</w:t>
      </w:r>
      <w:r w:rsidRPr="00A76C93">
        <w:rPr>
          <w:rFonts w:ascii="Garamond" w:hAnsi="Garamond"/>
          <w:i/>
          <w:iCs/>
          <w:color w:val="000000" w:themeColor="text1"/>
        </w:rPr>
        <w:t xml:space="preserve"> reparties à la hausse en 2021</w:t>
      </w:r>
      <w:r w:rsidRPr="00A76C93">
        <w:rPr>
          <w:rFonts w:ascii="Garamond" w:hAnsi="Garamond"/>
          <w:color w:val="000000" w:themeColor="text1"/>
        </w:rPr>
        <w:t> »</w:t>
      </w:r>
      <w:r>
        <w:rPr>
          <w:rFonts w:ascii="Garamond" w:hAnsi="Garamond"/>
          <w:color w:val="000000" w:themeColor="text1"/>
        </w:rPr>
        <w:t xml:space="preserve"> </w:t>
      </w:r>
      <w:r w:rsidRPr="00A76C93">
        <w:rPr>
          <w:rFonts w:ascii="Garamond" w:hAnsi="Garamond"/>
          <w:color w:val="000000" w:themeColor="text1"/>
        </w:rPr>
        <w:t xml:space="preserve">(CITEPA, </w:t>
      </w:r>
      <w:r w:rsidRPr="00A76C93">
        <w:rPr>
          <w:rFonts w:ascii="Garamond" w:hAnsi="Garamond"/>
          <w:i/>
          <w:iCs/>
          <w:color w:val="000000" w:themeColor="text1"/>
        </w:rPr>
        <w:t>Rapport Secten</w:t>
      </w:r>
      <w:r w:rsidRPr="00A76C93">
        <w:rPr>
          <w:rFonts w:ascii="Garamond" w:hAnsi="Garamond"/>
          <w:color w:val="000000" w:themeColor="text1"/>
        </w:rPr>
        <w:t xml:space="preserve">, juin 2022, p. 5). </w:t>
      </w:r>
    </w:p>
    <w:p w14:paraId="096BE8E2" w14:textId="77777777" w:rsidR="00A76C93" w:rsidRDefault="00A76C93" w:rsidP="00A76C93">
      <w:pPr>
        <w:tabs>
          <w:tab w:val="left" w:pos="6440"/>
        </w:tabs>
        <w:spacing w:line="252" w:lineRule="auto"/>
        <w:jc w:val="both"/>
        <w:rPr>
          <w:rFonts w:ascii="Garamond" w:hAnsi="Garamond"/>
          <w:color w:val="000000" w:themeColor="text1"/>
        </w:rPr>
      </w:pPr>
    </w:p>
    <w:p w14:paraId="25D9D282" w14:textId="6EB8C4CF" w:rsidR="00A76C93" w:rsidRP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Puis il identifiait </w:t>
      </w:r>
      <w:r w:rsidRPr="00A76C93">
        <w:rPr>
          <w:rFonts w:ascii="Garamond" w:hAnsi="Garamond"/>
          <w:color w:val="000000" w:themeColor="text1"/>
        </w:rPr>
        <w:t xml:space="preserve">les phénomènes conjoncturels qui, selon lui, </w:t>
      </w:r>
      <w:r>
        <w:rPr>
          <w:rFonts w:ascii="Garamond" w:hAnsi="Garamond"/>
          <w:color w:val="000000" w:themeColor="text1"/>
        </w:rPr>
        <w:t>permettaient d</w:t>
      </w:r>
      <w:r w:rsidR="00F86CA7">
        <w:rPr>
          <w:rFonts w:ascii="Garamond" w:hAnsi="Garamond"/>
          <w:color w:val="000000" w:themeColor="text1"/>
        </w:rPr>
        <w:t>’</w:t>
      </w:r>
      <w:r>
        <w:rPr>
          <w:rFonts w:ascii="Garamond" w:hAnsi="Garamond"/>
          <w:color w:val="000000" w:themeColor="text1"/>
        </w:rPr>
        <w:t xml:space="preserve">expliquer cette nouvelle hausse. En particulier, </w:t>
      </w:r>
      <w:r w:rsidRPr="00A76C93">
        <w:rPr>
          <w:rFonts w:ascii="Garamond" w:hAnsi="Garamond"/>
          <w:color w:val="000000" w:themeColor="text1"/>
        </w:rPr>
        <w:t xml:space="preserve">le rebond des émissions observé en 2021 </w:t>
      </w:r>
      <w:r>
        <w:rPr>
          <w:rFonts w:ascii="Garamond" w:hAnsi="Garamond"/>
          <w:color w:val="000000" w:themeColor="text1"/>
        </w:rPr>
        <w:t>était</w:t>
      </w:r>
      <w:r w:rsidRPr="00A76C93">
        <w:rPr>
          <w:rFonts w:ascii="Garamond" w:hAnsi="Garamond"/>
          <w:color w:val="000000" w:themeColor="text1"/>
        </w:rPr>
        <w:t xml:space="preserve"> envisagé comme la conséquence de deux phénomènes conjoncturels : </w:t>
      </w:r>
      <w:r>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u</w:t>
      </w:r>
      <w:r>
        <w:rPr>
          <w:rFonts w:ascii="Garamond" w:hAnsi="Garamond"/>
          <w:color w:val="000000" w:themeColor="text1"/>
        </w:rPr>
        <w:t>ne part,</w:t>
      </w:r>
      <w:r w:rsidRPr="00A76C93">
        <w:rPr>
          <w:rFonts w:ascii="Garamond" w:hAnsi="Garamond"/>
          <w:color w:val="000000" w:themeColor="text1"/>
        </w:rPr>
        <w:t xml:space="preserve"> la reprise des activités économiques, </w:t>
      </w:r>
      <w:r>
        <w:rPr>
          <w:rFonts w:ascii="Garamond" w:hAnsi="Garamond"/>
          <w:color w:val="000000" w:themeColor="text1"/>
        </w:rPr>
        <w:t>d</w:t>
      </w:r>
      <w:r w:rsidR="00F86CA7">
        <w:rPr>
          <w:rFonts w:ascii="Garamond" w:hAnsi="Garamond"/>
          <w:color w:val="000000" w:themeColor="text1"/>
        </w:rPr>
        <w:t>’</w:t>
      </w:r>
      <w:r>
        <w:rPr>
          <w:rFonts w:ascii="Garamond" w:hAnsi="Garamond"/>
          <w:color w:val="000000" w:themeColor="text1"/>
        </w:rPr>
        <w:t xml:space="preserve">autre part, les </w:t>
      </w:r>
      <w:r w:rsidRPr="00A76C93">
        <w:rPr>
          <w:rFonts w:ascii="Garamond" w:hAnsi="Garamond"/>
          <w:color w:val="000000" w:themeColor="text1"/>
        </w:rPr>
        <w:t>aléas tenant aux données météorologiques</w:t>
      </w:r>
      <w:r>
        <w:rPr>
          <w:rFonts w:ascii="Garamond" w:hAnsi="Garamond"/>
          <w:color w:val="000000" w:themeColor="text1"/>
        </w:rPr>
        <w:t xml:space="preserve">. Aux termes de ce rapport : </w:t>
      </w:r>
    </w:p>
    <w:p w14:paraId="306D9A93" w14:textId="77777777" w:rsidR="00A76C93" w:rsidRPr="00A76C93" w:rsidRDefault="00A76C93" w:rsidP="00A76C93">
      <w:pPr>
        <w:tabs>
          <w:tab w:val="left" w:pos="6440"/>
        </w:tabs>
        <w:spacing w:line="252" w:lineRule="auto"/>
        <w:jc w:val="both"/>
        <w:rPr>
          <w:rFonts w:ascii="Garamond" w:hAnsi="Garamond"/>
          <w:iCs/>
          <w:color w:val="000000" w:themeColor="text1"/>
        </w:rPr>
      </w:pPr>
    </w:p>
    <w:p w14:paraId="7323B657" w14:textId="42CC4362" w:rsidR="00A76C93" w:rsidRPr="00A76C93" w:rsidRDefault="00A76C93" w:rsidP="00A76C93">
      <w:pPr>
        <w:tabs>
          <w:tab w:val="left" w:pos="6440"/>
        </w:tabs>
        <w:spacing w:line="252" w:lineRule="auto"/>
        <w:ind w:left="567"/>
        <w:jc w:val="both"/>
        <w:rPr>
          <w:rFonts w:ascii="Garamond" w:hAnsi="Garamond"/>
          <w:iCs/>
          <w:color w:val="000000" w:themeColor="text1"/>
        </w:rPr>
      </w:pPr>
      <w:r w:rsidRPr="00A76C93">
        <w:rPr>
          <w:rFonts w:ascii="Garamond" w:hAnsi="Garamond"/>
          <w:iCs/>
          <w:color w:val="000000" w:themeColor="text1"/>
        </w:rPr>
        <w:t>« </w:t>
      </w:r>
      <w:r w:rsidRPr="00A76C93">
        <w:rPr>
          <w:rFonts w:ascii="Garamond" w:hAnsi="Garamond"/>
          <w:i/>
          <w:color w:val="000000" w:themeColor="text1"/>
        </w:rPr>
        <w:t>L</w:t>
      </w:r>
      <w:r w:rsidR="00F86CA7">
        <w:rPr>
          <w:rFonts w:ascii="Garamond" w:hAnsi="Garamond"/>
          <w:i/>
          <w:color w:val="000000" w:themeColor="text1"/>
        </w:rPr>
        <w:t>’</w:t>
      </w:r>
      <w:r w:rsidRPr="00A76C93">
        <w:rPr>
          <w:rFonts w:ascii="Garamond" w:hAnsi="Garamond"/>
          <w:i/>
          <w:color w:val="000000" w:themeColor="text1"/>
        </w:rPr>
        <w:t xml:space="preserve">année 2021 (+25 Mt CO2e, soit +6,4% par rapport à 2020), pré-estimée, dont le niveau reste à confirmer, est marquée </w:t>
      </w:r>
      <w:r w:rsidRPr="00A76C93">
        <w:rPr>
          <w:rFonts w:ascii="Garamond" w:hAnsi="Garamond"/>
          <w:i/>
          <w:color w:val="000000" w:themeColor="text1"/>
          <w:u w:val="single"/>
        </w:rPr>
        <w:t>par un rebond des émissions lié à la reprise des activités</w:t>
      </w:r>
      <w:r w:rsidRPr="00A76C93">
        <w:rPr>
          <w:rFonts w:ascii="Garamond" w:hAnsi="Garamond"/>
          <w:i/>
          <w:color w:val="000000" w:themeColor="text1"/>
        </w:rPr>
        <w:t xml:space="preserve"> (principalement les transports, mais aussi l</w:t>
      </w:r>
      <w:r w:rsidR="00F86CA7">
        <w:rPr>
          <w:rFonts w:ascii="Garamond" w:hAnsi="Garamond"/>
          <w:i/>
          <w:color w:val="000000" w:themeColor="text1"/>
        </w:rPr>
        <w:t>’</w:t>
      </w:r>
      <w:r w:rsidRPr="00A76C93">
        <w:rPr>
          <w:rFonts w:ascii="Garamond" w:hAnsi="Garamond"/>
          <w:i/>
          <w:color w:val="000000" w:themeColor="text1"/>
        </w:rPr>
        <w:t xml:space="preserve">industrie, le tertiaire...) à la suite de la crise du Covid-19 de 2020. </w:t>
      </w:r>
      <w:r w:rsidRPr="00A76C93">
        <w:rPr>
          <w:rFonts w:ascii="Garamond" w:hAnsi="Garamond"/>
          <w:i/>
          <w:color w:val="000000" w:themeColor="text1"/>
          <w:u w:val="single"/>
        </w:rPr>
        <w:t>Une partie de la hausse est aussi liée à une météo plus rigoureuse qu</w:t>
      </w:r>
      <w:r w:rsidR="00F86CA7">
        <w:rPr>
          <w:rFonts w:ascii="Garamond" w:hAnsi="Garamond"/>
          <w:i/>
          <w:color w:val="000000" w:themeColor="text1"/>
          <w:u w:val="single"/>
        </w:rPr>
        <w:t>’</w:t>
      </w:r>
      <w:r w:rsidRPr="00A76C93">
        <w:rPr>
          <w:rFonts w:ascii="Garamond" w:hAnsi="Garamond"/>
          <w:i/>
          <w:color w:val="000000" w:themeColor="text1"/>
          <w:u w:val="single"/>
        </w:rPr>
        <w:t>en 2020,</w:t>
      </w:r>
      <w:r w:rsidRPr="00A76C93">
        <w:rPr>
          <w:rFonts w:ascii="Garamond" w:hAnsi="Garamond"/>
          <w:i/>
          <w:color w:val="000000" w:themeColor="text1"/>
        </w:rPr>
        <w:t xml:space="preserve"> jouant sur les émissions du chauffage résidentiel et de la </w:t>
      </w:r>
      <w:r w:rsidRPr="00A76C93">
        <w:rPr>
          <w:rFonts w:ascii="Garamond" w:hAnsi="Garamond"/>
          <w:i/>
          <w:color w:val="000000" w:themeColor="text1"/>
        </w:rPr>
        <w:lastRenderedPageBreak/>
        <w:t>transformation d</w:t>
      </w:r>
      <w:r w:rsidR="00F86CA7">
        <w:rPr>
          <w:rFonts w:ascii="Garamond" w:hAnsi="Garamond"/>
          <w:i/>
          <w:color w:val="000000" w:themeColor="text1"/>
        </w:rPr>
        <w:t>’</w:t>
      </w:r>
      <w:r w:rsidRPr="00A76C93">
        <w:rPr>
          <w:rFonts w:ascii="Garamond" w:hAnsi="Garamond"/>
          <w:i/>
          <w:color w:val="000000" w:themeColor="text1"/>
        </w:rPr>
        <w:t>énergie. On observe notamment un fort rebond des émissions des transports (+13 Mt CO2e, +11,5%) </w:t>
      </w:r>
      <w:r w:rsidRPr="00A76C93">
        <w:rPr>
          <w:rFonts w:ascii="Garamond" w:hAnsi="Garamond"/>
          <w:iCs/>
          <w:color w:val="000000" w:themeColor="text1"/>
        </w:rPr>
        <w:t>» (</w:t>
      </w:r>
      <w:r>
        <w:rPr>
          <w:rFonts w:ascii="Garamond" w:hAnsi="Garamond"/>
          <w:i/>
          <w:color w:val="000000" w:themeColor="text1"/>
        </w:rPr>
        <w:t>idem</w:t>
      </w:r>
      <w:r w:rsidRPr="00A76C93">
        <w:rPr>
          <w:rFonts w:ascii="Garamond" w:hAnsi="Garamond"/>
          <w:i/>
          <w:color w:val="000000" w:themeColor="text1"/>
        </w:rPr>
        <w:t>,</w:t>
      </w:r>
      <w:r w:rsidRPr="00A76C93">
        <w:rPr>
          <w:rFonts w:ascii="Garamond" w:hAnsi="Garamond"/>
          <w:iCs/>
          <w:color w:val="000000" w:themeColor="text1"/>
        </w:rPr>
        <w:t xml:space="preserve"> p.</w:t>
      </w:r>
      <w:r>
        <w:rPr>
          <w:rFonts w:ascii="Garamond" w:hAnsi="Garamond"/>
          <w:iCs/>
          <w:color w:val="000000" w:themeColor="text1"/>
        </w:rPr>
        <w:t> </w:t>
      </w:r>
      <w:r w:rsidRPr="00A76C93">
        <w:rPr>
          <w:rFonts w:ascii="Garamond" w:hAnsi="Garamond"/>
          <w:iCs/>
          <w:color w:val="000000" w:themeColor="text1"/>
        </w:rPr>
        <w:t xml:space="preserve">7). </w:t>
      </w:r>
    </w:p>
    <w:p w14:paraId="3C172D0E" w14:textId="77777777" w:rsidR="00A76C93" w:rsidRDefault="00A76C93" w:rsidP="00A76C93">
      <w:pPr>
        <w:tabs>
          <w:tab w:val="left" w:pos="6440"/>
        </w:tabs>
        <w:spacing w:line="252" w:lineRule="auto"/>
        <w:jc w:val="both"/>
        <w:rPr>
          <w:rFonts w:ascii="Garamond" w:hAnsi="Garamond"/>
          <w:color w:val="000000" w:themeColor="text1"/>
        </w:rPr>
      </w:pPr>
    </w:p>
    <w:p w14:paraId="166F76E9" w14:textId="61D1464A"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En définitive, pour l</w:t>
      </w:r>
      <w:r w:rsidR="00F86CA7">
        <w:rPr>
          <w:rFonts w:ascii="Garamond" w:hAnsi="Garamond"/>
          <w:color w:val="000000" w:themeColor="text1"/>
        </w:rPr>
        <w:t>’</w:t>
      </w:r>
      <w:r w:rsidRPr="00A76C93">
        <w:rPr>
          <w:rFonts w:ascii="Garamond" w:hAnsi="Garamond"/>
          <w:color w:val="000000" w:themeColor="text1"/>
        </w:rPr>
        <w:t>année 2021, le Haut Conseil pour le Climat et le CITEPA s</w:t>
      </w:r>
      <w:r w:rsidR="00F86CA7">
        <w:rPr>
          <w:rFonts w:ascii="Garamond" w:hAnsi="Garamond"/>
          <w:color w:val="000000" w:themeColor="text1"/>
        </w:rPr>
        <w:t>’</w:t>
      </w:r>
      <w:r w:rsidRPr="00A76C93">
        <w:rPr>
          <w:rFonts w:ascii="Garamond" w:hAnsi="Garamond"/>
          <w:color w:val="000000" w:themeColor="text1"/>
        </w:rPr>
        <w:t xml:space="preserve">accordent sur un point : les </w:t>
      </w:r>
      <w:r w:rsidR="008325AB">
        <w:rPr>
          <w:rFonts w:ascii="Garamond" w:hAnsi="Garamond"/>
          <w:color w:val="000000" w:themeColor="text1"/>
        </w:rPr>
        <w:t>niveaux</w:t>
      </w:r>
      <w:r w:rsidRPr="00A76C93">
        <w:rPr>
          <w:rFonts w:ascii="Garamond" w:hAnsi="Garamond"/>
          <w:color w:val="000000" w:themeColor="text1"/>
        </w:rPr>
        <w:t xml:space="preserve"> d</w:t>
      </w:r>
      <w:r w:rsidR="00F86CA7">
        <w:rPr>
          <w:rFonts w:ascii="Garamond" w:hAnsi="Garamond"/>
          <w:color w:val="000000" w:themeColor="text1"/>
        </w:rPr>
        <w:t>’</w:t>
      </w:r>
      <w:r w:rsidRPr="00A76C93">
        <w:rPr>
          <w:rFonts w:ascii="Garamond" w:hAnsi="Garamond"/>
          <w:color w:val="000000" w:themeColor="text1"/>
        </w:rPr>
        <w:t>émissions constatés reposent sur des aléas, étrangers aux actions entreprises par l</w:t>
      </w:r>
      <w:r w:rsidR="00F86CA7">
        <w:rPr>
          <w:rFonts w:ascii="Garamond" w:hAnsi="Garamond"/>
          <w:color w:val="000000" w:themeColor="text1"/>
        </w:rPr>
        <w:t>’</w:t>
      </w:r>
      <w:r w:rsidRPr="00A76C93">
        <w:rPr>
          <w:rFonts w:ascii="Garamond" w:hAnsi="Garamond"/>
          <w:color w:val="000000" w:themeColor="text1"/>
        </w:rPr>
        <w:t xml:space="preserve">État. </w:t>
      </w:r>
    </w:p>
    <w:p w14:paraId="7E0927B7" w14:textId="77777777" w:rsidR="00A76C93" w:rsidRDefault="00A76C93" w:rsidP="00A76C93">
      <w:pPr>
        <w:tabs>
          <w:tab w:val="left" w:pos="6440"/>
        </w:tabs>
        <w:spacing w:line="252" w:lineRule="auto"/>
        <w:jc w:val="both"/>
        <w:rPr>
          <w:rFonts w:ascii="Garamond" w:hAnsi="Garamond"/>
          <w:color w:val="000000" w:themeColor="text1"/>
        </w:rPr>
      </w:pPr>
    </w:p>
    <w:p w14:paraId="32474797" w14:textId="675419DF" w:rsid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Ce qui fragilise</w:t>
      </w:r>
      <w:r w:rsidRPr="00A76C93">
        <w:rPr>
          <w:rFonts w:ascii="Garamond" w:hAnsi="Garamond"/>
          <w:color w:val="000000" w:themeColor="text1"/>
        </w:rPr>
        <w:t xml:space="preserve"> sérieusement la possibilité de se fonder </w:t>
      </w:r>
      <w:r>
        <w:rPr>
          <w:rFonts w:ascii="Garamond" w:hAnsi="Garamond"/>
          <w:color w:val="000000" w:themeColor="text1"/>
        </w:rPr>
        <w:t>exclusivement</w:t>
      </w:r>
      <w:r w:rsidRPr="00A76C93">
        <w:rPr>
          <w:rFonts w:ascii="Garamond" w:hAnsi="Garamond"/>
          <w:color w:val="000000" w:themeColor="text1"/>
        </w:rPr>
        <w:t xml:space="preserve"> sur les données d</w:t>
      </w:r>
      <w:r w:rsidR="00F86CA7">
        <w:rPr>
          <w:rFonts w:ascii="Garamond" w:hAnsi="Garamond"/>
          <w:color w:val="000000" w:themeColor="text1"/>
        </w:rPr>
        <w:t>’</w:t>
      </w:r>
      <w:r w:rsidRPr="00A76C93">
        <w:rPr>
          <w:rFonts w:ascii="Garamond" w:hAnsi="Garamond"/>
          <w:color w:val="000000" w:themeColor="text1"/>
        </w:rPr>
        <w:t>émissions</w:t>
      </w:r>
      <w:r>
        <w:rPr>
          <w:rFonts w:ascii="Garamond" w:hAnsi="Garamond"/>
          <w:color w:val="000000" w:themeColor="text1"/>
        </w:rPr>
        <w:t xml:space="preserve"> </w:t>
      </w:r>
      <w:r w:rsidRPr="00A76C93">
        <w:rPr>
          <w:rFonts w:ascii="Garamond" w:hAnsi="Garamond"/>
          <w:color w:val="000000" w:themeColor="text1"/>
        </w:rPr>
        <w:t xml:space="preserve">pour établir </w:t>
      </w:r>
      <w:r>
        <w:rPr>
          <w:rFonts w:ascii="Garamond" w:hAnsi="Garamond"/>
          <w:color w:val="000000" w:themeColor="text1"/>
        </w:rPr>
        <w:t xml:space="preserve">tant </w:t>
      </w:r>
      <w:r w:rsidRPr="00A76C93">
        <w:rPr>
          <w:rFonts w:ascii="Garamond" w:hAnsi="Garamond"/>
          <w:color w:val="000000" w:themeColor="text1"/>
        </w:rPr>
        <w:t>l</w:t>
      </w:r>
      <w:r w:rsidR="00F86CA7">
        <w:rPr>
          <w:rFonts w:ascii="Garamond" w:hAnsi="Garamond"/>
          <w:color w:val="000000" w:themeColor="text1"/>
        </w:rPr>
        <w:t>’</w:t>
      </w:r>
      <w:r>
        <w:rPr>
          <w:rFonts w:ascii="Garamond" w:hAnsi="Garamond"/>
          <w:color w:val="000000" w:themeColor="text1"/>
        </w:rPr>
        <w:t>imputabilité des baisses constatées à d</w:t>
      </w:r>
      <w:r w:rsidR="00F86CA7">
        <w:rPr>
          <w:rFonts w:ascii="Garamond" w:hAnsi="Garamond"/>
          <w:color w:val="000000" w:themeColor="text1"/>
        </w:rPr>
        <w:t>’</w:t>
      </w:r>
      <w:r>
        <w:rPr>
          <w:rFonts w:ascii="Garamond" w:hAnsi="Garamond"/>
          <w:color w:val="000000" w:themeColor="text1"/>
        </w:rPr>
        <w:t>éventuelles mesures adoptées par l</w:t>
      </w:r>
      <w:r w:rsidR="00F86CA7">
        <w:rPr>
          <w:rFonts w:ascii="Garamond" w:hAnsi="Garamond"/>
          <w:color w:val="000000" w:themeColor="text1"/>
        </w:rPr>
        <w:t>’</w:t>
      </w:r>
      <w:r>
        <w:rPr>
          <w:rFonts w:ascii="Garamond" w:hAnsi="Garamond"/>
          <w:color w:val="000000" w:themeColor="text1"/>
        </w:rPr>
        <w:t>État pour réparer le préjudice écologique et prévenir son aggravation, que l</w:t>
      </w:r>
      <w:r w:rsidR="00F86CA7">
        <w:rPr>
          <w:rFonts w:ascii="Garamond" w:hAnsi="Garamond"/>
          <w:color w:val="000000" w:themeColor="text1"/>
        </w:rPr>
        <w:t>’</w:t>
      </w:r>
      <w:r>
        <w:rPr>
          <w:rFonts w:ascii="Garamond" w:hAnsi="Garamond"/>
          <w:color w:val="000000" w:themeColor="text1"/>
        </w:rPr>
        <w:t xml:space="preserve">efficacité desdites mesures.  </w:t>
      </w:r>
    </w:p>
    <w:p w14:paraId="0F366129" w14:textId="77777777" w:rsidR="00A76C93" w:rsidRDefault="00A76C93" w:rsidP="00A76C93">
      <w:pPr>
        <w:spacing w:line="252" w:lineRule="auto"/>
        <w:jc w:val="both"/>
        <w:rPr>
          <w:rFonts w:ascii="Garamond" w:hAnsi="Garamond"/>
        </w:rPr>
      </w:pPr>
    </w:p>
    <w:p w14:paraId="343A13F3" w14:textId="77777777" w:rsidR="00A76C93" w:rsidRPr="00F52A38" w:rsidRDefault="00A76C93" w:rsidP="00A76C93">
      <w:pPr>
        <w:numPr>
          <w:ilvl w:val="0"/>
          <w:numId w:val="1"/>
        </w:numPr>
        <w:spacing w:line="252" w:lineRule="auto"/>
        <w:ind w:left="0" w:firstLine="0"/>
        <w:jc w:val="both"/>
        <w:rPr>
          <w:rFonts w:ascii="Garamond" w:hAnsi="Garamond"/>
          <w:color w:val="000000" w:themeColor="text1"/>
        </w:rPr>
      </w:pPr>
    </w:p>
    <w:p w14:paraId="331C11A4" w14:textId="77777777" w:rsidR="00A76C93" w:rsidRDefault="00A76C93" w:rsidP="00A76C93">
      <w:pPr>
        <w:tabs>
          <w:tab w:val="left" w:pos="6440"/>
        </w:tabs>
        <w:spacing w:line="252" w:lineRule="auto"/>
        <w:jc w:val="both"/>
        <w:rPr>
          <w:rFonts w:ascii="Garamond" w:hAnsi="Garamond"/>
          <w:color w:val="000000" w:themeColor="text1"/>
        </w:rPr>
      </w:pPr>
    </w:p>
    <w:p w14:paraId="2E44B6C3" w14:textId="3CA1378B" w:rsid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Un constat identique peut être dressé pour l</w:t>
      </w:r>
      <w:r w:rsidR="00F86CA7">
        <w:rPr>
          <w:rFonts w:ascii="Garamond" w:hAnsi="Garamond"/>
          <w:color w:val="000000" w:themeColor="text1"/>
        </w:rPr>
        <w:t>’</w:t>
      </w:r>
      <w:r>
        <w:rPr>
          <w:rFonts w:ascii="Garamond" w:hAnsi="Garamond"/>
          <w:color w:val="000000" w:themeColor="text1"/>
        </w:rPr>
        <w:t xml:space="preserve">année 2022. </w:t>
      </w:r>
    </w:p>
    <w:p w14:paraId="57E11BD2" w14:textId="77777777" w:rsidR="00A76C93" w:rsidRDefault="00A76C93" w:rsidP="00A76C93">
      <w:pPr>
        <w:tabs>
          <w:tab w:val="left" w:pos="6440"/>
        </w:tabs>
        <w:spacing w:line="252" w:lineRule="auto"/>
        <w:jc w:val="both"/>
        <w:rPr>
          <w:rFonts w:ascii="Garamond" w:hAnsi="Garamond"/>
          <w:color w:val="000000" w:themeColor="text1"/>
        </w:rPr>
      </w:pPr>
    </w:p>
    <w:p w14:paraId="0FA5FDCF" w14:textId="4C342EBC" w:rsidR="00A76C93" w:rsidRDefault="00A76C93" w:rsidP="00A76C93">
      <w:pPr>
        <w:tabs>
          <w:tab w:val="left" w:pos="6440"/>
        </w:tabs>
        <w:spacing w:line="252" w:lineRule="auto"/>
        <w:jc w:val="both"/>
        <w:rPr>
          <w:rFonts w:ascii="Garamond" w:hAnsi="Garamond"/>
          <w:color w:val="000000" w:themeColor="text1"/>
        </w:rPr>
      </w:pPr>
      <w:r>
        <w:rPr>
          <w:rFonts w:ascii="Garamond" w:hAnsi="Garamond"/>
          <w:color w:val="000000" w:themeColor="text1"/>
        </w:rPr>
        <w:t>À cet égard, il est rappelé que, dans sa décision « </w:t>
      </w:r>
      <w:r w:rsidRPr="00A76C93">
        <w:rPr>
          <w:rFonts w:ascii="Garamond" w:hAnsi="Garamond"/>
          <w:i/>
          <w:iCs/>
          <w:color w:val="000000" w:themeColor="text1"/>
        </w:rPr>
        <w:t>Commune de Grande-Synthe</w:t>
      </w:r>
      <w:r>
        <w:rPr>
          <w:rFonts w:ascii="Garamond" w:hAnsi="Garamond"/>
          <w:color w:val="000000" w:themeColor="text1"/>
        </w:rPr>
        <w:t> » du 13 mai 2023, le Conseil d</w:t>
      </w:r>
      <w:r w:rsidR="00F86CA7">
        <w:rPr>
          <w:rFonts w:ascii="Garamond" w:hAnsi="Garamond"/>
          <w:color w:val="000000" w:themeColor="text1"/>
        </w:rPr>
        <w:t>’</w:t>
      </w:r>
      <w:r>
        <w:rPr>
          <w:rFonts w:ascii="Garamond" w:hAnsi="Garamond"/>
          <w:color w:val="000000" w:themeColor="text1"/>
        </w:rPr>
        <w:t xml:space="preserve">État a pris </w:t>
      </w:r>
      <w:r w:rsidRPr="00A76C93">
        <w:rPr>
          <w:rFonts w:ascii="Garamond" w:hAnsi="Garamond"/>
          <w:color w:val="000000" w:themeColor="text1"/>
        </w:rPr>
        <w:t>en considération le poids de</w:t>
      </w:r>
      <w:r>
        <w:rPr>
          <w:rFonts w:ascii="Garamond" w:hAnsi="Garamond"/>
          <w:color w:val="000000" w:themeColor="text1"/>
        </w:rPr>
        <w:t xml:space="preserve">s </w:t>
      </w:r>
      <w:r w:rsidRPr="00A76C93">
        <w:rPr>
          <w:rFonts w:ascii="Garamond" w:hAnsi="Garamond"/>
          <w:color w:val="000000" w:themeColor="text1"/>
        </w:rPr>
        <w:t>circonstances exogènes</w:t>
      </w:r>
      <w:r>
        <w:rPr>
          <w:rFonts w:ascii="Garamond" w:hAnsi="Garamond"/>
          <w:color w:val="000000" w:themeColor="text1"/>
        </w:rPr>
        <w:t xml:space="preserve">, pour </w:t>
      </w:r>
      <w:r w:rsidRPr="00A76C93">
        <w:rPr>
          <w:rFonts w:ascii="Garamond" w:hAnsi="Garamond"/>
          <w:color w:val="000000" w:themeColor="text1"/>
        </w:rPr>
        <w:t xml:space="preserve">apprécier </w:t>
      </w:r>
      <w:r>
        <w:rPr>
          <w:rFonts w:ascii="Garamond" w:hAnsi="Garamond"/>
          <w:color w:val="000000" w:themeColor="text1"/>
        </w:rPr>
        <w:t xml:space="preserve">si </w:t>
      </w:r>
      <w:r w:rsidR="008325AB">
        <w:rPr>
          <w:rFonts w:ascii="Garamond" w:hAnsi="Garamond"/>
          <w:color w:val="000000" w:themeColor="text1"/>
        </w:rPr>
        <w:t>l</w:t>
      </w:r>
      <w:r w:rsidRPr="00A76C93">
        <w:rPr>
          <w:rFonts w:ascii="Garamond" w:hAnsi="Garamond"/>
          <w:color w:val="000000" w:themeColor="text1"/>
        </w:rPr>
        <w:t>es réductions d</w:t>
      </w:r>
      <w:r w:rsidR="00F86CA7">
        <w:rPr>
          <w:rFonts w:ascii="Garamond" w:hAnsi="Garamond"/>
          <w:color w:val="000000" w:themeColor="text1"/>
        </w:rPr>
        <w:t>’</w:t>
      </w:r>
      <w:r w:rsidRPr="00A76C93">
        <w:rPr>
          <w:rFonts w:ascii="Garamond" w:hAnsi="Garamond"/>
          <w:color w:val="000000" w:themeColor="text1"/>
        </w:rPr>
        <w:t xml:space="preserve">émissions constatées depuis 2020 </w:t>
      </w:r>
      <w:r>
        <w:rPr>
          <w:rFonts w:ascii="Garamond" w:hAnsi="Garamond"/>
          <w:color w:val="000000" w:themeColor="text1"/>
        </w:rPr>
        <w:t xml:space="preserve">étaient bien imputables </w:t>
      </w:r>
      <w:r w:rsidRPr="00A76C93">
        <w:rPr>
          <w:rFonts w:ascii="Garamond" w:hAnsi="Garamond"/>
          <w:color w:val="000000" w:themeColor="text1"/>
        </w:rPr>
        <w:t>à l</w:t>
      </w:r>
      <w:r w:rsidR="00F86CA7">
        <w:rPr>
          <w:rFonts w:ascii="Garamond" w:hAnsi="Garamond"/>
          <w:color w:val="000000" w:themeColor="text1"/>
        </w:rPr>
        <w:t>’</w:t>
      </w:r>
      <w:r w:rsidRPr="00A76C93">
        <w:rPr>
          <w:rFonts w:ascii="Garamond" w:hAnsi="Garamond"/>
          <w:color w:val="000000" w:themeColor="text1"/>
        </w:rPr>
        <w:t>action de l</w:t>
      </w:r>
      <w:r w:rsidR="00F86CA7">
        <w:rPr>
          <w:rFonts w:ascii="Garamond" w:hAnsi="Garamond"/>
          <w:color w:val="000000" w:themeColor="text1"/>
        </w:rPr>
        <w:t>’</w:t>
      </w:r>
      <w:r w:rsidRPr="00A76C93">
        <w:rPr>
          <w:rFonts w:ascii="Garamond" w:hAnsi="Garamond"/>
          <w:color w:val="000000" w:themeColor="text1"/>
        </w:rPr>
        <w:t xml:space="preserve">État. </w:t>
      </w:r>
    </w:p>
    <w:p w14:paraId="243E0F9C" w14:textId="77777777" w:rsidR="00A76C93" w:rsidRDefault="00A76C93" w:rsidP="00A76C93">
      <w:pPr>
        <w:tabs>
          <w:tab w:val="left" w:pos="6440"/>
        </w:tabs>
        <w:spacing w:line="252" w:lineRule="auto"/>
        <w:jc w:val="both"/>
        <w:rPr>
          <w:rFonts w:ascii="Garamond" w:hAnsi="Garamond"/>
          <w:color w:val="000000" w:themeColor="text1"/>
        </w:rPr>
      </w:pPr>
    </w:p>
    <w:p w14:paraId="776F5BF0" w14:textId="6B183FF4" w:rsidR="00A76C93"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Et d</w:t>
      </w:r>
      <w:r w:rsidR="00A76C93">
        <w:rPr>
          <w:rFonts w:ascii="Garamond" w:hAnsi="Garamond"/>
          <w:color w:val="000000" w:themeColor="text1"/>
        </w:rPr>
        <w:t xml:space="preserve">ans ce cadre, il a notamment </w:t>
      </w:r>
      <w:r>
        <w:rPr>
          <w:rFonts w:ascii="Garamond" w:hAnsi="Garamond"/>
          <w:color w:val="000000" w:themeColor="text1"/>
        </w:rPr>
        <w:t>relev</w:t>
      </w:r>
      <w:r w:rsidR="00A76C93">
        <w:rPr>
          <w:rFonts w:ascii="Garamond" w:hAnsi="Garamond"/>
          <w:color w:val="000000" w:themeColor="text1"/>
        </w:rPr>
        <w:t>é que</w:t>
      </w:r>
      <w:r>
        <w:rPr>
          <w:rFonts w:ascii="Garamond" w:hAnsi="Garamond"/>
          <w:color w:val="000000" w:themeColor="text1"/>
        </w:rPr>
        <w:t xml:space="preserve"> : </w:t>
      </w:r>
    </w:p>
    <w:p w14:paraId="424ACADB" w14:textId="77777777" w:rsidR="008325AB" w:rsidRDefault="008325AB" w:rsidP="00A76C93">
      <w:pPr>
        <w:tabs>
          <w:tab w:val="left" w:pos="6440"/>
        </w:tabs>
        <w:spacing w:line="252" w:lineRule="auto"/>
        <w:jc w:val="both"/>
        <w:rPr>
          <w:rFonts w:ascii="Garamond" w:hAnsi="Garamond"/>
          <w:color w:val="000000" w:themeColor="text1"/>
        </w:rPr>
      </w:pPr>
    </w:p>
    <w:p w14:paraId="77CA2A8A" w14:textId="013ACF62" w:rsidR="00A76C93" w:rsidRDefault="008325AB" w:rsidP="008325AB">
      <w:pPr>
        <w:tabs>
          <w:tab w:val="left" w:pos="6440"/>
        </w:tabs>
        <w:spacing w:line="252" w:lineRule="auto"/>
        <w:ind w:left="567"/>
        <w:jc w:val="both"/>
        <w:rPr>
          <w:rFonts w:ascii="Garamond" w:hAnsi="Garamond"/>
          <w:color w:val="000000" w:themeColor="text1"/>
        </w:rPr>
      </w:pPr>
      <w:r>
        <w:rPr>
          <w:rFonts w:ascii="Garamond" w:hAnsi="Garamond"/>
          <w:color w:val="000000" w:themeColor="text1"/>
        </w:rPr>
        <w:t xml:space="preserve">« […] </w:t>
      </w:r>
      <w:r w:rsidRPr="008325AB">
        <w:rPr>
          <w:rFonts w:ascii="Garamond" w:hAnsi="Garamond"/>
          <w:i/>
          <w:iCs/>
          <w:color w:val="000000" w:themeColor="text1"/>
        </w:rPr>
        <w:t>21. Il y a lieu de relever, tout d</w:t>
      </w:r>
      <w:r w:rsidR="00F86CA7">
        <w:rPr>
          <w:rFonts w:ascii="Garamond" w:hAnsi="Garamond"/>
          <w:i/>
          <w:iCs/>
          <w:color w:val="000000" w:themeColor="text1"/>
        </w:rPr>
        <w:t>’</w:t>
      </w:r>
      <w:r w:rsidRPr="008325AB">
        <w:rPr>
          <w:rFonts w:ascii="Garamond" w:hAnsi="Garamond"/>
          <w:i/>
          <w:iCs/>
          <w:color w:val="000000" w:themeColor="text1"/>
        </w:rPr>
        <w:t xml:space="preserve">abord, que </w:t>
      </w:r>
      <w:r w:rsidRPr="008325AB">
        <w:rPr>
          <w:rFonts w:ascii="Garamond" w:hAnsi="Garamond"/>
          <w:i/>
          <w:iCs/>
          <w:color w:val="000000" w:themeColor="text1"/>
          <w:u w:val="single"/>
        </w:rPr>
        <w:t>les résultats constatés</w:t>
      </w:r>
      <w:r w:rsidRPr="008325AB">
        <w:rPr>
          <w:rFonts w:ascii="Garamond" w:hAnsi="Garamond"/>
          <w:i/>
          <w:iCs/>
          <w:color w:val="000000" w:themeColor="text1"/>
        </w:rPr>
        <w:t xml:space="preserve"> </w:t>
      </w:r>
      <w:r>
        <w:rPr>
          <w:rFonts w:ascii="Garamond" w:hAnsi="Garamond"/>
          <w:color w:val="000000" w:themeColor="text1"/>
        </w:rPr>
        <w:t xml:space="preserve">[…] </w:t>
      </w:r>
      <w:r w:rsidRPr="008325AB">
        <w:rPr>
          <w:rFonts w:ascii="Garamond" w:hAnsi="Garamond"/>
          <w:i/>
          <w:iCs/>
          <w:color w:val="000000" w:themeColor="text1"/>
        </w:rPr>
        <w:t xml:space="preserve">sont rendus </w:t>
      </w:r>
      <w:r w:rsidRPr="008325AB">
        <w:rPr>
          <w:rFonts w:ascii="Garamond" w:hAnsi="Garamond"/>
          <w:i/>
          <w:iCs/>
          <w:color w:val="000000" w:themeColor="text1"/>
          <w:u w:val="single"/>
        </w:rPr>
        <w:t>d</w:t>
      </w:r>
      <w:r w:rsidR="00F86CA7">
        <w:rPr>
          <w:rFonts w:ascii="Garamond" w:hAnsi="Garamond"/>
          <w:i/>
          <w:iCs/>
          <w:color w:val="000000" w:themeColor="text1"/>
          <w:u w:val="single"/>
        </w:rPr>
        <w:t>’</w:t>
      </w:r>
      <w:r w:rsidRPr="008325AB">
        <w:rPr>
          <w:rFonts w:ascii="Garamond" w:hAnsi="Garamond"/>
          <w:i/>
          <w:iCs/>
          <w:color w:val="000000" w:themeColor="text1"/>
          <w:u w:val="single"/>
        </w:rPr>
        <w:t>interprétation délicate</w:t>
      </w:r>
      <w:r w:rsidRPr="008325AB">
        <w:rPr>
          <w:rFonts w:ascii="Garamond" w:hAnsi="Garamond"/>
          <w:i/>
          <w:iCs/>
          <w:color w:val="000000" w:themeColor="text1"/>
        </w:rPr>
        <w:t xml:space="preserve"> compte tenu de l</w:t>
      </w:r>
      <w:r w:rsidR="00F86CA7">
        <w:rPr>
          <w:rFonts w:ascii="Garamond" w:hAnsi="Garamond"/>
          <w:i/>
          <w:iCs/>
          <w:color w:val="000000" w:themeColor="text1"/>
        </w:rPr>
        <w:t>’</w:t>
      </w:r>
      <w:r w:rsidRPr="008325AB">
        <w:rPr>
          <w:rFonts w:ascii="Garamond" w:hAnsi="Garamond"/>
          <w:i/>
          <w:iCs/>
          <w:color w:val="000000" w:themeColor="text1"/>
        </w:rPr>
        <w:t>intervention, d</w:t>
      </w:r>
      <w:r w:rsidR="00F86CA7">
        <w:rPr>
          <w:rFonts w:ascii="Garamond" w:hAnsi="Garamond"/>
          <w:i/>
          <w:iCs/>
          <w:color w:val="000000" w:themeColor="text1"/>
        </w:rPr>
        <w:t>’</w:t>
      </w:r>
      <w:r w:rsidRPr="008325AB">
        <w:rPr>
          <w:rFonts w:ascii="Garamond" w:hAnsi="Garamond"/>
          <w:i/>
          <w:iCs/>
          <w:color w:val="000000" w:themeColor="text1"/>
        </w:rPr>
        <w:t xml:space="preserve">une part, de </w:t>
      </w:r>
      <w:r w:rsidRPr="008325AB">
        <w:rPr>
          <w:rFonts w:ascii="Garamond" w:hAnsi="Garamond"/>
          <w:i/>
          <w:iCs/>
          <w:color w:val="000000" w:themeColor="text1"/>
          <w:u w:val="single"/>
        </w:rPr>
        <w:t>deux circonstances exogènes qui ont affecté de façon notable les activités générant des émissions de gaz à effet de serre</w:t>
      </w:r>
      <w:r w:rsidRPr="008325AB">
        <w:rPr>
          <w:rFonts w:ascii="Garamond" w:hAnsi="Garamond"/>
          <w:i/>
          <w:iCs/>
          <w:color w:val="000000" w:themeColor="text1"/>
        </w:rPr>
        <w:t>, d</w:t>
      </w:r>
      <w:r w:rsidR="00F86CA7">
        <w:rPr>
          <w:rFonts w:ascii="Garamond" w:hAnsi="Garamond"/>
          <w:i/>
          <w:iCs/>
          <w:color w:val="000000" w:themeColor="text1"/>
        </w:rPr>
        <w:t>’</w:t>
      </w:r>
      <w:r w:rsidRPr="008325AB">
        <w:rPr>
          <w:rFonts w:ascii="Garamond" w:hAnsi="Garamond"/>
          <w:i/>
          <w:iCs/>
          <w:color w:val="000000" w:themeColor="text1"/>
        </w:rPr>
        <w:t xml:space="preserve">autre part, des </w:t>
      </w:r>
      <w:r w:rsidRPr="008325AB">
        <w:rPr>
          <w:rFonts w:ascii="Garamond" w:hAnsi="Garamond"/>
          <w:i/>
          <w:iCs/>
          <w:color w:val="000000" w:themeColor="text1"/>
          <w:u w:val="single"/>
        </w:rPr>
        <w:t>mesures temporaires prises en réponse par le Gouvernement, également susceptibles d</w:t>
      </w:r>
      <w:r w:rsidR="00F86CA7">
        <w:rPr>
          <w:rFonts w:ascii="Garamond" w:hAnsi="Garamond"/>
          <w:i/>
          <w:iCs/>
          <w:color w:val="000000" w:themeColor="text1"/>
          <w:u w:val="single"/>
        </w:rPr>
        <w:t>’</w:t>
      </w:r>
      <w:r w:rsidRPr="008325AB">
        <w:rPr>
          <w:rFonts w:ascii="Garamond" w:hAnsi="Garamond"/>
          <w:i/>
          <w:iCs/>
          <w:color w:val="000000" w:themeColor="text1"/>
          <w:u w:val="single"/>
        </w:rPr>
        <w:t>affecter la trajectoire de réduction de ces émissions</w:t>
      </w:r>
      <w:r w:rsidRPr="008325AB">
        <w:rPr>
          <w:rFonts w:ascii="Garamond" w:hAnsi="Garamond"/>
          <w:i/>
          <w:iCs/>
          <w:color w:val="000000" w:themeColor="text1"/>
        </w:rPr>
        <w:t xml:space="preserve">. Ainsi, les trois dernières années 2020, 2021 et 2022 ont été marquées par la </w:t>
      </w:r>
      <w:r w:rsidRPr="008325AB">
        <w:rPr>
          <w:rFonts w:ascii="Garamond" w:hAnsi="Garamond"/>
          <w:i/>
          <w:iCs/>
          <w:color w:val="000000" w:themeColor="text1"/>
          <w:u w:val="single"/>
        </w:rPr>
        <w:t>grave crise sanitaire</w:t>
      </w:r>
      <w:r w:rsidRPr="008325AB">
        <w:rPr>
          <w:rFonts w:ascii="Garamond" w:hAnsi="Garamond"/>
          <w:i/>
          <w:iCs/>
          <w:color w:val="000000" w:themeColor="text1"/>
        </w:rPr>
        <w:t xml:space="preserve"> causée par la pandémie de Covid-19, qui a conduit à une forte restriction des activités qui génèrent des émissions de gaz à effet de serre, puis à un fort rebond de l</w:t>
      </w:r>
      <w:r w:rsidR="00F86CA7">
        <w:rPr>
          <w:rFonts w:ascii="Garamond" w:hAnsi="Garamond"/>
          <w:i/>
          <w:iCs/>
          <w:color w:val="000000" w:themeColor="text1"/>
        </w:rPr>
        <w:t>’</w:t>
      </w:r>
      <w:r w:rsidRPr="008325AB">
        <w:rPr>
          <w:rFonts w:ascii="Garamond" w:hAnsi="Garamond"/>
          <w:i/>
          <w:iCs/>
          <w:color w:val="000000" w:themeColor="text1"/>
        </w:rPr>
        <w:t xml:space="preserve">activité économique ayant fait suite à la levée de la plupart des mesures restrictives adoptées. </w:t>
      </w:r>
      <w:r w:rsidRPr="008325AB">
        <w:rPr>
          <w:rFonts w:ascii="Garamond" w:hAnsi="Garamond"/>
          <w:i/>
          <w:iCs/>
          <w:color w:val="000000" w:themeColor="text1"/>
          <w:u w:val="single"/>
        </w:rPr>
        <w:t>Or, ces circonstances exceptionnelles ne permettent pas d</w:t>
      </w:r>
      <w:r w:rsidR="00F86CA7">
        <w:rPr>
          <w:rFonts w:ascii="Garamond" w:hAnsi="Garamond"/>
          <w:i/>
          <w:iCs/>
          <w:color w:val="000000" w:themeColor="text1"/>
          <w:u w:val="single"/>
        </w:rPr>
        <w:t>’</w:t>
      </w:r>
      <w:r w:rsidRPr="008325AB">
        <w:rPr>
          <w:rFonts w:ascii="Garamond" w:hAnsi="Garamond"/>
          <w:i/>
          <w:iCs/>
          <w:color w:val="000000" w:themeColor="text1"/>
          <w:u w:val="single"/>
        </w:rPr>
        <w:t>apprécier, d</w:t>
      </w:r>
      <w:r w:rsidR="00F86CA7">
        <w:rPr>
          <w:rFonts w:ascii="Garamond" w:hAnsi="Garamond"/>
          <w:i/>
          <w:iCs/>
          <w:color w:val="000000" w:themeColor="text1"/>
          <w:u w:val="single"/>
        </w:rPr>
        <w:t>’</w:t>
      </w:r>
      <w:r w:rsidRPr="008325AB">
        <w:rPr>
          <w:rFonts w:ascii="Garamond" w:hAnsi="Garamond"/>
          <w:i/>
          <w:iCs/>
          <w:color w:val="000000" w:themeColor="text1"/>
          <w:u w:val="single"/>
        </w:rPr>
        <w:t>une part, si les objectifs fixés pour 2020 auraient été atteints sur la base des seules mesures structurelles adoptées antérieurement, d</w:t>
      </w:r>
      <w:r w:rsidR="00F86CA7">
        <w:rPr>
          <w:rFonts w:ascii="Garamond" w:hAnsi="Garamond"/>
          <w:i/>
          <w:iCs/>
          <w:color w:val="000000" w:themeColor="text1"/>
          <w:u w:val="single"/>
        </w:rPr>
        <w:t>’</w:t>
      </w:r>
      <w:r w:rsidRPr="008325AB">
        <w:rPr>
          <w:rFonts w:ascii="Garamond" w:hAnsi="Garamond"/>
          <w:i/>
          <w:iCs/>
          <w:color w:val="000000" w:themeColor="text1"/>
          <w:u w:val="single"/>
        </w:rPr>
        <w:t>autre part, dans quelle proportion l</w:t>
      </w:r>
      <w:r w:rsidR="00F86CA7">
        <w:rPr>
          <w:rFonts w:ascii="Garamond" w:hAnsi="Garamond"/>
          <w:i/>
          <w:iCs/>
          <w:color w:val="000000" w:themeColor="text1"/>
          <w:u w:val="single"/>
        </w:rPr>
        <w:t>’</w:t>
      </w:r>
      <w:r w:rsidRPr="008325AB">
        <w:rPr>
          <w:rFonts w:ascii="Garamond" w:hAnsi="Garamond"/>
          <w:i/>
          <w:iCs/>
          <w:color w:val="000000" w:themeColor="text1"/>
          <w:u w:val="single"/>
        </w:rPr>
        <w:t>efficacité de ces mesures a eu une incidence sur le niveau d</w:t>
      </w:r>
      <w:r w:rsidR="00F86CA7">
        <w:rPr>
          <w:rFonts w:ascii="Garamond" w:hAnsi="Garamond"/>
          <w:i/>
          <w:iCs/>
          <w:color w:val="000000" w:themeColor="text1"/>
          <w:u w:val="single"/>
        </w:rPr>
        <w:t>’</w:t>
      </w:r>
      <w:r w:rsidRPr="008325AB">
        <w:rPr>
          <w:rFonts w:ascii="Garamond" w:hAnsi="Garamond"/>
          <w:i/>
          <w:iCs/>
          <w:color w:val="000000" w:themeColor="text1"/>
          <w:u w:val="single"/>
        </w:rPr>
        <w:t>émission constaté en 2021 au regard des données provisoires actuellement disponibles</w:t>
      </w:r>
      <w:r w:rsidRPr="008325AB">
        <w:rPr>
          <w:rFonts w:ascii="Garamond" w:hAnsi="Garamond"/>
          <w:i/>
          <w:iCs/>
          <w:color w:val="000000" w:themeColor="text1"/>
        </w:rPr>
        <w:t xml:space="preserve">. La </w:t>
      </w:r>
      <w:r w:rsidRPr="008325AB">
        <w:rPr>
          <w:rFonts w:ascii="Garamond" w:hAnsi="Garamond"/>
          <w:i/>
          <w:iCs/>
          <w:color w:val="000000" w:themeColor="text1"/>
          <w:u w:val="single"/>
        </w:rPr>
        <w:t>crise liée à la guerre en Ukraine a, par ailleurs, eu des incidences significatives</w:t>
      </w:r>
      <w:r w:rsidRPr="008325AB">
        <w:rPr>
          <w:rFonts w:ascii="Garamond" w:hAnsi="Garamond"/>
          <w:i/>
          <w:iCs/>
          <w:color w:val="000000" w:themeColor="text1"/>
        </w:rPr>
        <w:t xml:space="preserve"> sur l</w:t>
      </w:r>
      <w:r w:rsidR="00F86CA7">
        <w:rPr>
          <w:rFonts w:ascii="Garamond" w:hAnsi="Garamond"/>
          <w:i/>
          <w:iCs/>
          <w:color w:val="000000" w:themeColor="text1"/>
        </w:rPr>
        <w:t>’</w:t>
      </w:r>
      <w:r w:rsidRPr="008325AB">
        <w:rPr>
          <w:rFonts w:ascii="Garamond" w:hAnsi="Garamond"/>
          <w:i/>
          <w:iCs/>
          <w:color w:val="000000" w:themeColor="text1"/>
        </w:rPr>
        <w:t>activité économique, les conditions d</w:t>
      </w:r>
      <w:r w:rsidR="00F86CA7">
        <w:rPr>
          <w:rFonts w:ascii="Garamond" w:hAnsi="Garamond"/>
          <w:i/>
          <w:iCs/>
          <w:color w:val="000000" w:themeColor="text1"/>
        </w:rPr>
        <w:t>’</w:t>
      </w:r>
      <w:r w:rsidRPr="008325AB">
        <w:rPr>
          <w:rFonts w:ascii="Garamond" w:hAnsi="Garamond"/>
          <w:i/>
          <w:iCs/>
          <w:color w:val="000000" w:themeColor="text1"/>
        </w:rPr>
        <w:t>approvisionnement en énergie et les décisions de politique énergétique, à compter de février 2022, et a conduit le Gouvernement à prendre des mesures susceptibles d</w:t>
      </w:r>
      <w:r w:rsidR="00F86CA7">
        <w:rPr>
          <w:rFonts w:ascii="Garamond" w:hAnsi="Garamond"/>
          <w:i/>
          <w:iCs/>
          <w:color w:val="000000" w:themeColor="text1"/>
        </w:rPr>
        <w:t>’</w:t>
      </w:r>
      <w:r w:rsidRPr="008325AB">
        <w:rPr>
          <w:rFonts w:ascii="Garamond" w:hAnsi="Garamond"/>
          <w:i/>
          <w:iCs/>
          <w:color w:val="000000" w:themeColor="text1"/>
        </w:rPr>
        <w:t>aller à l</w:t>
      </w:r>
      <w:r w:rsidR="00F86CA7">
        <w:rPr>
          <w:rFonts w:ascii="Garamond" w:hAnsi="Garamond"/>
          <w:i/>
          <w:iCs/>
          <w:color w:val="000000" w:themeColor="text1"/>
        </w:rPr>
        <w:t>’</w:t>
      </w:r>
      <w:r w:rsidRPr="008325AB">
        <w:rPr>
          <w:rFonts w:ascii="Garamond" w:hAnsi="Garamond"/>
          <w:i/>
          <w:iCs/>
          <w:color w:val="000000" w:themeColor="text1"/>
        </w:rPr>
        <w:t>encontre des objectifs de réduction des émissions de gaz à effet de serre, notamment en intervenant sur les prix de l</w:t>
      </w:r>
      <w:r w:rsidR="00F86CA7">
        <w:rPr>
          <w:rFonts w:ascii="Garamond" w:hAnsi="Garamond"/>
          <w:i/>
          <w:iCs/>
          <w:color w:val="000000" w:themeColor="text1"/>
        </w:rPr>
        <w:t>’</w:t>
      </w:r>
      <w:r w:rsidRPr="008325AB">
        <w:rPr>
          <w:rFonts w:ascii="Garamond" w:hAnsi="Garamond"/>
          <w:i/>
          <w:iCs/>
          <w:color w:val="000000" w:themeColor="text1"/>
        </w:rPr>
        <w:t>énergie et les dépenses supportées par les entreprises et les ménages et en maintenant ouvertes ou en recourant à des centrales à charbon et à des centrales électriques au gaz pour garantir l</w:t>
      </w:r>
      <w:r w:rsidR="00F86CA7">
        <w:rPr>
          <w:rFonts w:ascii="Garamond" w:hAnsi="Garamond"/>
          <w:i/>
          <w:iCs/>
          <w:color w:val="000000" w:themeColor="text1"/>
        </w:rPr>
        <w:t>’</w:t>
      </w:r>
      <w:r w:rsidRPr="008325AB">
        <w:rPr>
          <w:rFonts w:ascii="Garamond" w:hAnsi="Garamond"/>
          <w:i/>
          <w:iCs/>
          <w:color w:val="000000" w:themeColor="text1"/>
        </w:rPr>
        <w:t>approvisionnement en électricité du pays</w:t>
      </w:r>
      <w:r>
        <w:rPr>
          <w:rFonts w:ascii="Garamond" w:hAnsi="Garamond"/>
          <w:i/>
          <w:iCs/>
          <w:color w:val="000000" w:themeColor="text1"/>
        </w:rPr>
        <w:t xml:space="preserve">. </w:t>
      </w:r>
      <w:r>
        <w:rPr>
          <w:rFonts w:ascii="Garamond" w:hAnsi="Garamond"/>
          <w:color w:val="000000" w:themeColor="text1"/>
        </w:rPr>
        <w:t xml:space="preserve">[…] » </w:t>
      </w:r>
      <w:r w:rsidR="00A76C93">
        <w:rPr>
          <w:rFonts w:ascii="Garamond" w:hAnsi="Garamond"/>
          <w:color w:val="000000" w:themeColor="text1"/>
        </w:rPr>
        <w:t xml:space="preserve">(CE, 10 mai 2023, </w:t>
      </w:r>
      <w:r w:rsidR="00A76C93" w:rsidRPr="00A76C93">
        <w:rPr>
          <w:rFonts w:ascii="Garamond" w:hAnsi="Garamond"/>
          <w:i/>
          <w:iCs/>
          <w:color w:val="000000" w:themeColor="text1"/>
        </w:rPr>
        <w:t>Commune de Grande-Synthe et autres</w:t>
      </w:r>
      <w:r w:rsidR="00A76C93">
        <w:rPr>
          <w:rFonts w:ascii="Garamond" w:hAnsi="Garamond"/>
          <w:color w:val="000000" w:themeColor="text1"/>
        </w:rPr>
        <w:t>, req. n° </w:t>
      </w:r>
      <w:r w:rsidR="00A76C93" w:rsidRPr="00A76C93">
        <w:rPr>
          <w:rFonts w:ascii="Garamond" w:hAnsi="Garamond"/>
          <w:color w:val="000000" w:themeColor="text1"/>
        </w:rPr>
        <w:t>467982</w:t>
      </w:r>
      <w:r w:rsidR="00A76C93">
        <w:rPr>
          <w:rFonts w:ascii="Garamond" w:hAnsi="Garamond"/>
          <w:color w:val="000000" w:themeColor="text1"/>
        </w:rPr>
        <w:t>, publié au recueil Lebon, soulignement ajouté)</w:t>
      </w:r>
      <w:r>
        <w:rPr>
          <w:rFonts w:ascii="Garamond" w:hAnsi="Garamond"/>
          <w:color w:val="000000" w:themeColor="text1"/>
        </w:rPr>
        <w:t xml:space="preserve">. </w:t>
      </w:r>
    </w:p>
    <w:p w14:paraId="7BB9A174" w14:textId="61D24948" w:rsidR="008325AB" w:rsidRDefault="008325AB" w:rsidP="00A76C93">
      <w:pPr>
        <w:tabs>
          <w:tab w:val="left" w:pos="6440"/>
        </w:tabs>
        <w:spacing w:line="252" w:lineRule="auto"/>
        <w:jc w:val="both"/>
        <w:rPr>
          <w:rFonts w:ascii="Garamond" w:hAnsi="Garamond"/>
          <w:color w:val="000000" w:themeColor="text1"/>
        </w:rPr>
      </w:pPr>
    </w:p>
    <w:p w14:paraId="5620D5FB" w14:textId="380E1288"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Ce faisant, à l</w:t>
      </w:r>
      <w:r w:rsidR="00F86CA7">
        <w:rPr>
          <w:rFonts w:ascii="Garamond" w:hAnsi="Garamond"/>
          <w:color w:val="000000" w:themeColor="text1"/>
        </w:rPr>
        <w:t>’</w:t>
      </w:r>
      <w:r>
        <w:rPr>
          <w:rFonts w:ascii="Garamond" w:hAnsi="Garamond"/>
          <w:color w:val="000000" w:themeColor="text1"/>
        </w:rPr>
        <w:t>instar du Haut Conseil pour le Climat et du CITEPA, le Conseil d</w:t>
      </w:r>
      <w:r w:rsidR="00F86CA7">
        <w:rPr>
          <w:rFonts w:ascii="Garamond" w:hAnsi="Garamond"/>
          <w:color w:val="000000" w:themeColor="text1"/>
        </w:rPr>
        <w:t>’</w:t>
      </w:r>
      <w:r>
        <w:rPr>
          <w:rFonts w:ascii="Garamond" w:hAnsi="Garamond"/>
          <w:color w:val="000000" w:themeColor="text1"/>
        </w:rPr>
        <w:t>État a relevé que l</w:t>
      </w:r>
      <w:r w:rsidR="00F86CA7">
        <w:rPr>
          <w:rFonts w:ascii="Garamond" w:hAnsi="Garamond"/>
          <w:color w:val="000000" w:themeColor="text1"/>
        </w:rPr>
        <w:t>’</w:t>
      </w:r>
      <w:r>
        <w:rPr>
          <w:rFonts w:ascii="Garamond" w:hAnsi="Garamond"/>
          <w:color w:val="000000" w:themeColor="text1"/>
        </w:rPr>
        <w:t>importance des facteurs exogènes – crise sanitaire et guerre en Ukraine, notamment – obérait la possibilité de considérer comme exclusivement imputables à l</w:t>
      </w:r>
      <w:r w:rsidR="00F86CA7">
        <w:rPr>
          <w:rFonts w:ascii="Garamond" w:hAnsi="Garamond"/>
          <w:color w:val="000000" w:themeColor="text1"/>
        </w:rPr>
        <w:t>’</w:t>
      </w:r>
      <w:r>
        <w:rPr>
          <w:rFonts w:ascii="Garamond" w:hAnsi="Garamond"/>
          <w:color w:val="000000" w:themeColor="text1"/>
        </w:rPr>
        <w:t>État les réductions d</w:t>
      </w:r>
      <w:r w:rsidR="00F86CA7">
        <w:rPr>
          <w:rFonts w:ascii="Garamond" w:hAnsi="Garamond"/>
          <w:color w:val="000000" w:themeColor="text1"/>
        </w:rPr>
        <w:t>’</w:t>
      </w:r>
      <w:r>
        <w:rPr>
          <w:rFonts w:ascii="Garamond" w:hAnsi="Garamond"/>
          <w:color w:val="000000" w:themeColor="text1"/>
        </w:rPr>
        <w:t xml:space="preserve">émissions constatées en 2020, 2021 et 2022. </w:t>
      </w:r>
    </w:p>
    <w:p w14:paraId="5E26924E" w14:textId="77777777" w:rsidR="008325AB" w:rsidRDefault="008325AB" w:rsidP="00A76C93">
      <w:pPr>
        <w:tabs>
          <w:tab w:val="left" w:pos="6440"/>
        </w:tabs>
        <w:spacing w:line="252" w:lineRule="auto"/>
        <w:jc w:val="both"/>
        <w:rPr>
          <w:rFonts w:ascii="Garamond" w:hAnsi="Garamond"/>
          <w:color w:val="000000" w:themeColor="text1"/>
        </w:rPr>
      </w:pPr>
    </w:p>
    <w:p w14:paraId="405E11F0" w14:textId="7EA0E3BB"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Plus encore, le rapporteur public, Monsieur Stéphane HOYNCK, insistait, dans ses conclusions sur cette décision, sur l</w:t>
      </w:r>
      <w:r w:rsidR="00F86CA7">
        <w:rPr>
          <w:rFonts w:ascii="Garamond" w:hAnsi="Garamond"/>
          <w:color w:val="000000" w:themeColor="text1"/>
        </w:rPr>
        <w:t>’</w:t>
      </w:r>
      <w:r>
        <w:rPr>
          <w:rFonts w:ascii="Garamond" w:hAnsi="Garamond"/>
          <w:color w:val="000000" w:themeColor="text1"/>
        </w:rPr>
        <w:t xml:space="preserve">impact de ces facteurs conjoncturels, en relevant que </w:t>
      </w:r>
      <w:r w:rsidRPr="00A76C93">
        <w:rPr>
          <w:rFonts w:ascii="Garamond" w:hAnsi="Garamond"/>
          <w:color w:val="000000" w:themeColor="text1"/>
        </w:rPr>
        <w:t xml:space="preserve">le respect des parts </w:t>
      </w:r>
      <w:r w:rsidRPr="00A76C93">
        <w:rPr>
          <w:rFonts w:ascii="Garamond" w:hAnsi="Garamond"/>
          <w:color w:val="000000" w:themeColor="text1"/>
        </w:rPr>
        <w:lastRenderedPageBreak/>
        <w:t>annuelles indicatives du deuxième budget</w:t>
      </w:r>
      <w:r>
        <w:rPr>
          <w:rFonts w:ascii="Garamond" w:hAnsi="Garamond"/>
          <w:color w:val="000000" w:themeColor="text1"/>
        </w:rPr>
        <w:t xml:space="preserve"> carbone</w:t>
      </w:r>
      <w:r w:rsidRPr="00A76C93">
        <w:rPr>
          <w:rFonts w:ascii="Garamond" w:hAnsi="Garamond"/>
          <w:color w:val="000000" w:themeColor="text1"/>
        </w:rPr>
        <w:t xml:space="preserve"> résultait tout à la fois du rehaussement du </w:t>
      </w:r>
      <w:r w:rsidRPr="00A76C93">
        <w:rPr>
          <w:rFonts w:ascii="Garamond" w:hAnsi="Garamond"/>
          <w:i/>
          <w:iCs/>
          <w:color w:val="000000" w:themeColor="text1"/>
        </w:rPr>
        <w:t>quantum</w:t>
      </w:r>
      <w:r w:rsidRPr="00A76C93">
        <w:rPr>
          <w:rFonts w:ascii="Garamond" w:hAnsi="Garamond"/>
          <w:color w:val="000000" w:themeColor="text1"/>
        </w:rPr>
        <w:t xml:space="preserve"> dudit budget</w:t>
      </w:r>
      <w:r>
        <w:rPr>
          <w:rFonts w:ascii="Garamond" w:hAnsi="Garamond"/>
          <w:color w:val="000000" w:themeColor="text1"/>
        </w:rPr>
        <w:t xml:space="preserve">, opéré par la SNBC révisée, </w:t>
      </w:r>
      <w:r w:rsidRPr="00A76C93">
        <w:rPr>
          <w:rFonts w:ascii="Garamond" w:hAnsi="Garamond"/>
          <w:color w:val="000000" w:themeColor="text1"/>
        </w:rPr>
        <w:t>et d</w:t>
      </w:r>
      <w:r w:rsidR="00F86CA7">
        <w:rPr>
          <w:rFonts w:ascii="Garamond" w:hAnsi="Garamond"/>
          <w:color w:val="000000" w:themeColor="text1"/>
        </w:rPr>
        <w:t>’</w:t>
      </w:r>
      <w:r w:rsidRPr="00A76C93">
        <w:rPr>
          <w:rFonts w:ascii="Garamond" w:hAnsi="Garamond"/>
          <w:color w:val="000000" w:themeColor="text1"/>
        </w:rPr>
        <w:t>évènements étrangers à la volonté de l</w:t>
      </w:r>
      <w:r w:rsidR="00F86CA7">
        <w:rPr>
          <w:rFonts w:ascii="Garamond" w:hAnsi="Garamond"/>
          <w:color w:val="000000" w:themeColor="text1"/>
        </w:rPr>
        <w:t>’</w:t>
      </w:r>
      <w:r w:rsidRPr="00A76C93">
        <w:rPr>
          <w:rFonts w:ascii="Garamond" w:hAnsi="Garamond"/>
          <w:color w:val="000000" w:themeColor="text1"/>
        </w:rPr>
        <w:t>État</w:t>
      </w:r>
      <w:r>
        <w:rPr>
          <w:rFonts w:ascii="Garamond" w:hAnsi="Garamond"/>
          <w:color w:val="000000" w:themeColor="text1"/>
        </w:rPr>
        <w:t xml:space="preserve">. </w:t>
      </w:r>
    </w:p>
    <w:p w14:paraId="644F7A33" w14:textId="77777777" w:rsidR="008325AB" w:rsidRDefault="008325AB" w:rsidP="00A76C93">
      <w:pPr>
        <w:tabs>
          <w:tab w:val="left" w:pos="6440"/>
        </w:tabs>
        <w:spacing w:line="252" w:lineRule="auto"/>
        <w:jc w:val="both"/>
        <w:rPr>
          <w:rFonts w:ascii="Garamond" w:hAnsi="Garamond"/>
          <w:color w:val="000000" w:themeColor="text1"/>
        </w:rPr>
      </w:pPr>
    </w:p>
    <w:p w14:paraId="1F295478" w14:textId="73E2F149"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En particulier, il relevait que : </w:t>
      </w:r>
    </w:p>
    <w:p w14:paraId="73A7DCBC" w14:textId="77777777" w:rsidR="008325AB" w:rsidRDefault="008325AB" w:rsidP="00A76C93">
      <w:pPr>
        <w:tabs>
          <w:tab w:val="left" w:pos="6440"/>
        </w:tabs>
        <w:spacing w:line="252" w:lineRule="auto"/>
        <w:jc w:val="both"/>
        <w:rPr>
          <w:rFonts w:ascii="Garamond" w:hAnsi="Garamond"/>
          <w:color w:val="000000" w:themeColor="text1"/>
        </w:rPr>
      </w:pPr>
    </w:p>
    <w:p w14:paraId="45B97937" w14:textId="34AB41CE" w:rsidR="008325AB" w:rsidRPr="008325AB" w:rsidRDefault="008325AB" w:rsidP="008325AB">
      <w:pPr>
        <w:tabs>
          <w:tab w:val="left" w:pos="6440"/>
        </w:tabs>
        <w:spacing w:line="252" w:lineRule="auto"/>
        <w:ind w:left="567"/>
        <w:jc w:val="both"/>
        <w:rPr>
          <w:rFonts w:ascii="Garamond" w:hAnsi="Garamond"/>
          <w:i/>
          <w:iCs/>
          <w:color w:val="000000" w:themeColor="text1"/>
        </w:rPr>
      </w:pPr>
      <w:r>
        <w:rPr>
          <w:rFonts w:ascii="Garamond" w:hAnsi="Garamond"/>
          <w:color w:val="000000" w:themeColor="text1"/>
        </w:rPr>
        <w:t>« </w:t>
      </w:r>
      <w:r w:rsidRPr="008325AB">
        <w:rPr>
          <w:rFonts w:ascii="Garamond" w:hAnsi="Garamond"/>
          <w:i/>
          <w:iCs/>
          <w:color w:val="000000" w:themeColor="text1"/>
        </w:rPr>
        <w:t>Pour l</w:t>
      </w:r>
      <w:r w:rsidR="00F86CA7">
        <w:rPr>
          <w:rFonts w:ascii="Garamond" w:hAnsi="Garamond"/>
          <w:i/>
          <w:iCs/>
          <w:color w:val="000000" w:themeColor="text1"/>
        </w:rPr>
        <w:t>’</w:t>
      </w:r>
      <w:r w:rsidRPr="008325AB">
        <w:rPr>
          <w:rFonts w:ascii="Garamond" w:hAnsi="Garamond"/>
          <w:i/>
          <w:iCs/>
          <w:color w:val="000000" w:themeColor="text1"/>
        </w:rPr>
        <w:t xml:space="preserve">année </w:t>
      </w:r>
      <w:r w:rsidRPr="008325AB">
        <w:rPr>
          <w:rFonts w:ascii="Garamond" w:hAnsi="Garamond"/>
          <w:i/>
          <w:iCs/>
          <w:color w:val="000000" w:themeColor="text1"/>
          <w:u w:val="single"/>
        </w:rPr>
        <w:t>2019</w:t>
      </w:r>
      <w:r w:rsidRPr="008325AB">
        <w:rPr>
          <w:rFonts w:ascii="Garamond" w:hAnsi="Garamond"/>
          <w:i/>
          <w:iCs/>
          <w:color w:val="000000" w:themeColor="text1"/>
        </w:rPr>
        <w:t>, la baisse des émissions a été de 1,9%, elle a été de 9,6% pour 2020. L</w:t>
      </w:r>
      <w:r w:rsidR="00F86CA7">
        <w:rPr>
          <w:rFonts w:ascii="Garamond" w:hAnsi="Garamond"/>
          <w:i/>
          <w:iCs/>
          <w:color w:val="000000" w:themeColor="text1"/>
        </w:rPr>
        <w:t>’</w:t>
      </w:r>
      <w:r w:rsidRPr="008325AB">
        <w:rPr>
          <w:rFonts w:ascii="Garamond" w:hAnsi="Garamond"/>
          <w:i/>
          <w:iCs/>
          <w:color w:val="000000" w:themeColor="text1"/>
        </w:rPr>
        <w:t>évolution des émissions pour l</w:t>
      </w:r>
      <w:r w:rsidR="00F86CA7">
        <w:rPr>
          <w:rFonts w:ascii="Garamond" w:hAnsi="Garamond"/>
          <w:i/>
          <w:iCs/>
          <w:color w:val="000000" w:themeColor="text1"/>
        </w:rPr>
        <w:t>’</w:t>
      </w:r>
      <w:r w:rsidRPr="008325AB">
        <w:rPr>
          <w:rFonts w:ascii="Garamond" w:hAnsi="Garamond"/>
          <w:i/>
          <w:iCs/>
          <w:color w:val="000000" w:themeColor="text1"/>
        </w:rPr>
        <w:t>année 2020 présente un caractère fortement atypique, d</w:t>
      </w:r>
      <w:r w:rsidR="00F86CA7">
        <w:rPr>
          <w:rFonts w:ascii="Garamond" w:hAnsi="Garamond"/>
          <w:i/>
          <w:iCs/>
          <w:color w:val="000000" w:themeColor="text1"/>
        </w:rPr>
        <w:t>’</w:t>
      </w:r>
      <w:r w:rsidRPr="008325AB">
        <w:rPr>
          <w:rFonts w:ascii="Garamond" w:hAnsi="Garamond"/>
          <w:i/>
          <w:iCs/>
          <w:color w:val="000000" w:themeColor="text1"/>
        </w:rPr>
        <w:t xml:space="preserve">abord </w:t>
      </w:r>
      <w:r w:rsidRPr="008325AB">
        <w:rPr>
          <w:rFonts w:ascii="Garamond" w:hAnsi="Garamond"/>
          <w:i/>
          <w:iCs/>
          <w:color w:val="000000" w:themeColor="text1"/>
          <w:u w:val="single"/>
        </w:rPr>
        <w:t>en raison de la crise du Covid</w:t>
      </w:r>
      <w:r w:rsidRPr="008325AB">
        <w:rPr>
          <w:rFonts w:ascii="Garamond" w:hAnsi="Garamond"/>
          <w:i/>
          <w:iCs/>
          <w:color w:val="000000" w:themeColor="text1"/>
        </w:rPr>
        <w:t xml:space="preserve">, vous aviez souligné dans votre 2eme décision Grande Synthe, reprenant à votre compte un avis du Haut Conseil pour le climat (HCC), que </w:t>
      </w:r>
      <w:r w:rsidRPr="008325AB">
        <w:rPr>
          <w:rFonts w:ascii="Garamond" w:hAnsi="Garamond"/>
          <w:i/>
          <w:iCs/>
          <w:color w:val="000000" w:themeColor="text1"/>
          <w:u w:val="single"/>
        </w:rPr>
        <w:t>la baisse de 2020 était "transitoire" et "sujette à des rebonds"</w:t>
      </w:r>
      <w:r w:rsidRPr="008325AB">
        <w:rPr>
          <w:rFonts w:ascii="Garamond" w:hAnsi="Garamond"/>
          <w:i/>
          <w:iCs/>
          <w:color w:val="000000" w:themeColor="text1"/>
        </w:rPr>
        <w:t>.</w:t>
      </w:r>
    </w:p>
    <w:p w14:paraId="08205B5C" w14:textId="77777777" w:rsidR="008325AB" w:rsidRPr="008325AB" w:rsidRDefault="008325AB" w:rsidP="008325AB">
      <w:pPr>
        <w:tabs>
          <w:tab w:val="left" w:pos="6440"/>
        </w:tabs>
        <w:spacing w:line="252" w:lineRule="auto"/>
        <w:ind w:left="567"/>
        <w:jc w:val="both"/>
        <w:rPr>
          <w:rFonts w:ascii="Garamond" w:hAnsi="Garamond"/>
          <w:i/>
          <w:iCs/>
          <w:color w:val="000000" w:themeColor="text1"/>
        </w:rPr>
      </w:pPr>
    </w:p>
    <w:p w14:paraId="08EC9309" w14:textId="58E64CEF" w:rsidR="008325AB" w:rsidRPr="008325AB" w:rsidRDefault="008325AB" w:rsidP="008325AB">
      <w:pPr>
        <w:tabs>
          <w:tab w:val="left" w:pos="6440"/>
        </w:tabs>
        <w:spacing w:line="252" w:lineRule="auto"/>
        <w:ind w:left="567"/>
        <w:jc w:val="both"/>
        <w:rPr>
          <w:rFonts w:ascii="Garamond" w:hAnsi="Garamond"/>
          <w:i/>
          <w:iCs/>
          <w:color w:val="000000" w:themeColor="text1"/>
        </w:rPr>
      </w:pPr>
      <w:r w:rsidRPr="008325AB">
        <w:rPr>
          <w:rFonts w:ascii="Garamond" w:hAnsi="Garamond"/>
          <w:i/>
          <w:iCs/>
          <w:color w:val="000000" w:themeColor="text1"/>
        </w:rPr>
        <w:t>C</w:t>
      </w:r>
      <w:r w:rsidR="00F86CA7">
        <w:rPr>
          <w:rFonts w:ascii="Garamond" w:hAnsi="Garamond"/>
          <w:i/>
          <w:iCs/>
          <w:color w:val="000000" w:themeColor="text1"/>
        </w:rPr>
        <w:t>’</w:t>
      </w:r>
      <w:r w:rsidRPr="008325AB">
        <w:rPr>
          <w:rFonts w:ascii="Garamond" w:hAnsi="Garamond"/>
          <w:i/>
          <w:iCs/>
          <w:color w:val="000000" w:themeColor="text1"/>
        </w:rPr>
        <w:t xml:space="preserve">est bien à un </w:t>
      </w:r>
      <w:r w:rsidRPr="008325AB">
        <w:rPr>
          <w:rFonts w:ascii="Garamond" w:hAnsi="Garamond"/>
          <w:i/>
          <w:iCs/>
          <w:color w:val="000000" w:themeColor="text1"/>
          <w:u w:val="single"/>
        </w:rPr>
        <w:t>rebond que l</w:t>
      </w:r>
      <w:r w:rsidR="00F86CA7">
        <w:rPr>
          <w:rFonts w:ascii="Garamond" w:hAnsi="Garamond"/>
          <w:i/>
          <w:iCs/>
          <w:color w:val="000000" w:themeColor="text1"/>
          <w:u w:val="single"/>
        </w:rPr>
        <w:t>’</w:t>
      </w:r>
      <w:r w:rsidRPr="008325AB">
        <w:rPr>
          <w:rFonts w:ascii="Garamond" w:hAnsi="Garamond"/>
          <w:i/>
          <w:iCs/>
          <w:color w:val="000000" w:themeColor="text1"/>
          <w:u w:val="single"/>
        </w:rPr>
        <w:t>on a assisté en 2021, les émissions augmentant de 6,4% par rapport à l</w:t>
      </w:r>
      <w:r w:rsidR="00F86CA7">
        <w:rPr>
          <w:rFonts w:ascii="Garamond" w:hAnsi="Garamond"/>
          <w:i/>
          <w:iCs/>
          <w:color w:val="000000" w:themeColor="text1"/>
          <w:u w:val="single"/>
        </w:rPr>
        <w:t>’</w:t>
      </w:r>
      <w:r w:rsidRPr="008325AB">
        <w:rPr>
          <w:rFonts w:ascii="Garamond" w:hAnsi="Garamond"/>
          <w:i/>
          <w:iCs/>
          <w:color w:val="000000" w:themeColor="text1"/>
          <w:u w:val="single"/>
        </w:rPr>
        <w:t>année précédente</w:t>
      </w:r>
      <w:r w:rsidRPr="008325AB">
        <w:rPr>
          <w:rFonts w:ascii="Garamond" w:hAnsi="Garamond"/>
          <w:i/>
          <w:iCs/>
          <w:color w:val="000000" w:themeColor="text1"/>
        </w:rPr>
        <w:t xml:space="preserve">. </w:t>
      </w:r>
    </w:p>
    <w:p w14:paraId="5BBCBEC8" w14:textId="77777777" w:rsidR="008325AB" w:rsidRPr="008325AB" w:rsidRDefault="008325AB" w:rsidP="008325AB">
      <w:pPr>
        <w:tabs>
          <w:tab w:val="left" w:pos="6440"/>
        </w:tabs>
        <w:spacing w:line="252" w:lineRule="auto"/>
        <w:ind w:left="567"/>
        <w:jc w:val="both"/>
        <w:rPr>
          <w:rFonts w:ascii="Garamond" w:hAnsi="Garamond"/>
          <w:i/>
          <w:iCs/>
          <w:color w:val="000000" w:themeColor="text1"/>
        </w:rPr>
      </w:pPr>
    </w:p>
    <w:p w14:paraId="79A42B86" w14:textId="432BB24B" w:rsidR="008325AB" w:rsidRPr="008325AB" w:rsidRDefault="008325AB" w:rsidP="008325AB">
      <w:pPr>
        <w:tabs>
          <w:tab w:val="left" w:pos="6440"/>
        </w:tabs>
        <w:spacing w:line="252" w:lineRule="auto"/>
        <w:ind w:left="567"/>
        <w:jc w:val="both"/>
        <w:rPr>
          <w:rFonts w:ascii="Garamond" w:hAnsi="Garamond"/>
          <w:i/>
          <w:iCs/>
          <w:color w:val="000000" w:themeColor="text1"/>
        </w:rPr>
      </w:pPr>
      <w:r w:rsidRPr="008325AB">
        <w:rPr>
          <w:rFonts w:ascii="Garamond" w:hAnsi="Garamond"/>
          <w:i/>
          <w:iCs/>
          <w:color w:val="000000" w:themeColor="text1"/>
        </w:rPr>
        <w:t>S</w:t>
      </w:r>
      <w:r w:rsidR="00F86CA7">
        <w:rPr>
          <w:rFonts w:ascii="Garamond" w:hAnsi="Garamond"/>
          <w:i/>
          <w:iCs/>
          <w:color w:val="000000" w:themeColor="text1"/>
        </w:rPr>
        <w:t>’</w:t>
      </w:r>
      <w:r w:rsidRPr="008325AB">
        <w:rPr>
          <w:rFonts w:ascii="Garamond" w:hAnsi="Garamond"/>
          <w:i/>
          <w:iCs/>
          <w:color w:val="000000" w:themeColor="text1"/>
        </w:rPr>
        <w:t>agissant de l</w:t>
      </w:r>
      <w:r w:rsidR="00F86CA7">
        <w:rPr>
          <w:rFonts w:ascii="Garamond" w:hAnsi="Garamond"/>
          <w:i/>
          <w:iCs/>
          <w:color w:val="000000" w:themeColor="text1"/>
        </w:rPr>
        <w:t>’</w:t>
      </w:r>
      <w:r w:rsidRPr="008325AB">
        <w:rPr>
          <w:rFonts w:ascii="Garamond" w:hAnsi="Garamond"/>
          <w:i/>
          <w:iCs/>
          <w:color w:val="000000" w:themeColor="text1"/>
        </w:rPr>
        <w:t>année 2022, les données provisoires estiment que les émissions repartent à la baisse, de l</w:t>
      </w:r>
      <w:r w:rsidR="00F86CA7">
        <w:rPr>
          <w:rFonts w:ascii="Garamond" w:hAnsi="Garamond"/>
          <w:i/>
          <w:iCs/>
          <w:color w:val="000000" w:themeColor="text1"/>
        </w:rPr>
        <w:t>’</w:t>
      </w:r>
      <w:r w:rsidRPr="008325AB">
        <w:rPr>
          <w:rFonts w:ascii="Garamond" w:hAnsi="Garamond"/>
          <w:i/>
          <w:iCs/>
          <w:color w:val="000000" w:themeColor="text1"/>
        </w:rPr>
        <w:t xml:space="preserve">ordre de 2,5%, mais avec semble-t-il </w:t>
      </w:r>
      <w:r w:rsidRPr="008325AB">
        <w:rPr>
          <w:rFonts w:ascii="Garamond" w:hAnsi="Garamond"/>
          <w:i/>
          <w:iCs/>
          <w:color w:val="000000" w:themeColor="text1"/>
          <w:u w:val="single"/>
        </w:rPr>
        <w:t>à nouveau une situation atypique, liée indirectement à l</w:t>
      </w:r>
      <w:r w:rsidR="00F86CA7">
        <w:rPr>
          <w:rFonts w:ascii="Garamond" w:hAnsi="Garamond"/>
          <w:i/>
          <w:iCs/>
          <w:color w:val="000000" w:themeColor="text1"/>
          <w:u w:val="single"/>
        </w:rPr>
        <w:t>’</w:t>
      </w:r>
      <w:r w:rsidRPr="008325AB">
        <w:rPr>
          <w:rFonts w:ascii="Garamond" w:hAnsi="Garamond"/>
          <w:i/>
          <w:iCs/>
          <w:color w:val="000000" w:themeColor="text1"/>
          <w:u w:val="single"/>
        </w:rPr>
        <w:t>invasion de l</w:t>
      </w:r>
      <w:r w:rsidR="00F86CA7">
        <w:rPr>
          <w:rFonts w:ascii="Garamond" w:hAnsi="Garamond"/>
          <w:i/>
          <w:iCs/>
          <w:color w:val="000000" w:themeColor="text1"/>
          <w:u w:val="single"/>
        </w:rPr>
        <w:t>’</w:t>
      </w:r>
      <w:r w:rsidRPr="008325AB">
        <w:rPr>
          <w:rFonts w:ascii="Garamond" w:hAnsi="Garamond"/>
          <w:i/>
          <w:iCs/>
          <w:color w:val="000000" w:themeColor="text1"/>
          <w:u w:val="single"/>
        </w:rPr>
        <w:t>Ukraine par la Russie et aux mesures qui ont été prises pour réduire la consommation d</w:t>
      </w:r>
      <w:r w:rsidR="00F86CA7">
        <w:rPr>
          <w:rFonts w:ascii="Garamond" w:hAnsi="Garamond"/>
          <w:i/>
          <w:iCs/>
          <w:color w:val="000000" w:themeColor="text1"/>
          <w:u w:val="single"/>
        </w:rPr>
        <w:t>’</w:t>
      </w:r>
      <w:r w:rsidRPr="008325AB">
        <w:rPr>
          <w:rFonts w:ascii="Garamond" w:hAnsi="Garamond"/>
          <w:i/>
          <w:iCs/>
          <w:color w:val="000000" w:themeColor="text1"/>
          <w:u w:val="single"/>
        </w:rPr>
        <w:t>énergie dans un contexte d</w:t>
      </w:r>
      <w:r w:rsidR="00F86CA7">
        <w:rPr>
          <w:rFonts w:ascii="Garamond" w:hAnsi="Garamond"/>
          <w:i/>
          <w:iCs/>
          <w:color w:val="000000" w:themeColor="text1"/>
          <w:u w:val="single"/>
        </w:rPr>
        <w:t>’</w:t>
      </w:r>
      <w:r w:rsidRPr="008325AB">
        <w:rPr>
          <w:rFonts w:ascii="Garamond" w:hAnsi="Garamond"/>
          <w:i/>
          <w:iCs/>
          <w:color w:val="000000" w:themeColor="text1"/>
          <w:u w:val="single"/>
        </w:rPr>
        <w:t>augmentation des prix</w:t>
      </w:r>
      <w:r w:rsidRPr="008325AB">
        <w:rPr>
          <w:rFonts w:ascii="Garamond" w:hAnsi="Garamond"/>
          <w:i/>
          <w:iCs/>
          <w:color w:val="000000" w:themeColor="text1"/>
        </w:rPr>
        <w:t xml:space="preserve">. </w:t>
      </w:r>
    </w:p>
    <w:p w14:paraId="2AEF29EB" w14:textId="77777777" w:rsidR="008325AB" w:rsidRPr="008325AB" w:rsidRDefault="008325AB" w:rsidP="008325AB">
      <w:pPr>
        <w:tabs>
          <w:tab w:val="left" w:pos="6440"/>
        </w:tabs>
        <w:spacing w:line="252" w:lineRule="auto"/>
        <w:ind w:left="567"/>
        <w:jc w:val="both"/>
        <w:rPr>
          <w:rFonts w:ascii="Garamond" w:hAnsi="Garamond"/>
          <w:i/>
          <w:iCs/>
          <w:color w:val="000000" w:themeColor="text1"/>
        </w:rPr>
      </w:pPr>
    </w:p>
    <w:p w14:paraId="0CD53C55" w14:textId="6940B467" w:rsidR="008325AB" w:rsidRDefault="008325AB" w:rsidP="008325AB">
      <w:pPr>
        <w:tabs>
          <w:tab w:val="left" w:pos="6440"/>
        </w:tabs>
        <w:spacing w:line="252" w:lineRule="auto"/>
        <w:ind w:left="567"/>
        <w:jc w:val="both"/>
        <w:rPr>
          <w:rFonts w:ascii="Garamond" w:hAnsi="Garamond"/>
          <w:color w:val="000000" w:themeColor="text1"/>
        </w:rPr>
      </w:pPr>
      <w:r w:rsidRPr="008325AB">
        <w:rPr>
          <w:rFonts w:ascii="Garamond" w:hAnsi="Garamond"/>
          <w:i/>
          <w:iCs/>
          <w:color w:val="000000" w:themeColor="text1"/>
        </w:rPr>
        <w:t xml:space="preserve">Ceci conduirait à un respect global des parts annuelles indicatives du 2eme budget carbone, mais </w:t>
      </w:r>
      <w:r w:rsidRPr="008325AB">
        <w:rPr>
          <w:rFonts w:ascii="Garamond" w:hAnsi="Garamond"/>
          <w:i/>
          <w:iCs/>
          <w:color w:val="000000" w:themeColor="text1"/>
          <w:u w:val="single"/>
        </w:rPr>
        <w:t>s</w:t>
      </w:r>
      <w:r w:rsidR="00F86CA7">
        <w:rPr>
          <w:rFonts w:ascii="Garamond" w:hAnsi="Garamond"/>
          <w:i/>
          <w:iCs/>
          <w:color w:val="000000" w:themeColor="text1"/>
          <w:u w:val="single"/>
        </w:rPr>
        <w:t>’</w:t>
      </w:r>
      <w:r w:rsidRPr="008325AB">
        <w:rPr>
          <w:rFonts w:ascii="Garamond" w:hAnsi="Garamond"/>
          <w:i/>
          <w:iCs/>
          <w:color w:val="000000" w:themeColor="text1"/>
          <w:u w:val="single"/>
        </w:rPr>
        <w:t>agissant d</w:t>
      </w:r>
      <w:r w:rsidR="00F86CA7">
        <w:rPr>
          <w:rFonts w:ascii="Garamond" w:hAnsi="Garamond"/>
          <w:i/>
          <w:iCs/>
          <w:color w:val="000000" w:themeColor="text1"/>
          <w:u w:val="single"/>
        </w:rPr>
        <w:t>’</w:t>
      </w:r>
      <w:r w:rsidRPr="008325AB">
        <w:rPr>
          <w:rFonts w:ascii="Garamond" w:hAnsi="Garamond"/>
          <w:i/>
          <w:iCs/>
          <w:color w:val="000000" w:themeColor="text1"/>
          <w:u w:val="single"/>
        </w:rPr>
        <w:t>une période pour laquelle les objectifs ont été revus à la baisse et reporté vers les périodes suivantes et au bénéfice, si l</w:t>
      </w:r>
      <w:r w:rsidR="00F86CA7">
        <w:rPr>
          <w:rFonts w:ascii="Garamond" w:hAnsi="Garamond"/>
          <w:i/>
          <w:iCs/>
          <w:color w:val="000000" w:themeColor="text1"/>
          <w:u w:val="single"/>
        </w:rPr>
        <w:t>’</w:t>
      </w:r>
      <w:r w:rsidRPr="008325AB">
        <w:rPr>
          <w:rFonts w:ascii="Garamond" w:hAnsi="Garamond"/>
          <w:i/>
          <w:iCs/>
          <w:color w:val="000000" w:themeColor="text1"/>
          <w:u w:val="single"/>
        </w:rPr>
        <w:t>on peut dire, d</w:t>
      </w:r>
      <w:r w:rsidR="00F86CA7">
        <w:rPr>
          <w:rFonts w:ascii="Garamond" w:hAnsi="Garamond"/>
          <w:i/>
          <w:iCs/>
          <w:color w:val="000000" w:themeColor="text1"/>
          <w:u w:val="single"/>
        </w:rPr>
        <w:t>’</w:t>
      </w:r>
      <w:r w:rsidRPr="008325AB">
        <w:rPr>
          <w:rFonts w:ascii="Garamond" w:hAnsi="Garamond"/>
          <w:i/>
          <w:iCs/>
          <w:color w:val="000000" w:themeColor="text1"/>
          <w:u w:val="single"/>
        </w:rPr>
        <w:t>évènements dont les conséquences en termes d</w:t>
      </w:r>
      <w:r w:rsidR="00F86CA7">
        <w:rPr>
          <w:rFonts w:ascii="Garamond" w:hAnsi="Garamond"/>
          <w:i/>
          <w:iCs/>
          <w:color w:val="000000" w:themeColor="text1"/>
          <w:u w:val="single"/>
        </w:rPr>
        <w:t>’</w:t>
      </w:r>
      <w:r w:rsidRPr="008325AB">
        <w:rPr>
          <w:rFonts w:ascii="Garamond" w:hAnsi="Garamond"/>
          <w:i/>
          <w:iCs/>
          <w:color w:val="000000" w:themeColor="text1"/>
          <w:u w:val="single"/>
        </w:rPr>
        <w:t>émissions sont au moins en partie conjoncturelles et non structurelles</w:t>
      </w:r>
      <w:r>
        <w:rPr>
          <w:rFonts w:ascii="Garamond" w:hAnsi="Garamond"/>
          <w:color w:val="000000" w:themeColor="text1"/>
        </w:rPr>
        <w:t xml:space="preserve"> » (concl. S. HOYNCK sur CE, 10 mai 2023, </w:t>
      </w:r>
      <w:r w:rsidRPr="00A76C93">
        <w:rPr>
          <w:rFonts w:ascii="Garamond" w:hAnsi="Garamond"/>
          <w:i/>
          <w:iCs/>
          <w:color w:val="000000" w:themeColor="text1"/>
        </w:rPr>
        <w:t>Commune de Grande-Synthe et autres</w:t>
      </w:r>
      <w:r>
        <w:rPr>
          <w:rFonts w:ascii="Garamond" w:hAnsi="Garamond"/>
          <w:color w:val="000000" w:themeColor="text1"/>
        </w:rPr>
        <w:t>, req. n° </w:t>
      </w:r>
      <w:r w:rsidRPr="00A76C93">
        <w:rPr>
          <w:rFonts w:ascii="Garamond" w:hAnsi="Garamond"/>
          <w:color w:val="000000" w:themeColor="text1"/>
        </w:rPr>
        <w:t>467982</w:t>
      </w:r>
      <w:r>
        <w:rPr>
          <w:rFonts w:ascii="Garamond" w:hAnsi="Garamond"/>
          <w:color w:val="000000" w:themeColor="text1"/>
        </w:rPr>
        <w:t>, publié au recueil Lebon, soulignement ajouté)</w:t>
      </w:r>
      <w:r w:rsidR="004746BB">
        <w:rPr>
          <w:rFonts w:ascii="Garamond" w:hAnsi="Garamond"/>
          <w:color w:val="000000" w:themeColor="text1"/>
        </w:rPr>
        <w:t>.</w:t>
      </w:r>
    </w:p>
    <w:p w14:paraId="55566285" w14:textId="77777777" w:rsidR="008325AB" w:rsidRDefault="008325AB" w:rsidP="008325AB">
      <w:pPr>
        <w:spacing w:line="252" w:lineRule="auto"/>
        <w:jc w:val="both"/>
        <w:rPr>
          <w:rFonts w:ascii="Garamond" w:hAnsi="Garamond"/>
        </w:rPr>
      </w:pPr>
    </w:p>
    <w:p w14:paraId="6E0E7BC7" w14:textId="77777777" w:rsidR="008325AB" w:rsidRPr="00F52A38" w:rsidRDefault="008325AB" w:rsidP="008325AB">
      <w:pPr>
        <w:numPr>
          <w:ilvl w:val="0"/>
          <w:numId w:val="1"/>
        </w:numPr>
        <w:spacing w:line="252" w:lineRule="auto"/>
        <w:ind w:left="0" w:firstLine="0"/>
        <w:jc w:val="both"/>
        <w:rPr>
          <w:rFonts w:ascii="Garamond" w:hAnsi="Garamond"/>
          <w:color w:val="000000" w:themeColor="text1"/>
        </w:rPr>
      </w:pPr>
    </w:p>
    <w:p w14:paraId="3CAF7DF9" w14:textId="77777777" w:rsidR="008325AB" w:rsidRDefault="008325AB" w:rsidP="008325AB">
      <w:pPr>
        <w:tabs>
          <w:tab w:val="left" w:pos="6440"/>
        </w:tabs>
        <w:spacing w:line="252" w:lineRule="auto"/>
        <w:jc w:val="both"/>
        <w:rPr>
          <w:rFonts w:ascii="Garamond" w:hAnsi="Garamond"/>
          <w:color w:val="000000" w:themeColor="text1"/>
        </w:rPr>
      </w:pPr>
    </w:p>
    <w:p w14:paraId="63E17FAC" w14:textId="4B0872E2" w:rsidR="00A07440" w:rsidRDefault="00A07440" w:rsidP="00A07440">
      <w:pPr>
        <w:tabs>
          <w:tab w:val="left" w:pos="6440"/>
        </w:tabs>
        <w:spacing w:line="252" w:lineRule="auto"/>
        <w:jc w:val="both"/>
        <w:rPr>
          <w:rFonts w:ascii="Garamond" w:hAnsi="Garamond"/>
          <w:color w:val="000000" w:themeColor="text1"/>
        </w:rPr>
      </w:pPr>
      <w:r>
        <w:rPr>
          <w:rFonts w:ascii="Garamond" w:hAnsi="Garamond"/>
          <w:color w:val="000000" w:themeColor="text1"/>
        </w:rPr>
        <w:t xml:space="preserve">Ces premiers constats, corroborent les analyses opérées par le CITEPA dans le dernier rapport Secten. </w:t>
      </w:r>
    </w:p>
    <w:p w14:paraId="5CEBCD83" w14:textId="77777777" w:rsidR="00A07440" w:rsidRDefault="00A07440" w:rsidP="00A07440">
      <w:pPr>
        <w:tabs>
          <w:tab w:val="left" w:pos="6440"/>
        </w:tabs>
        <w:spacing w:line="252" w:lineRule="auto"/>
        <w:jc w:val="both"/>
        <w:rPr>
          <w:rFonts w:ascii="Garamond" w:hAnsi="Garamond"/>
          <w:color w:val="000000" w:themeColor="text1"/>
        </w:rPr>
      </w:pPr>
    </w:p>
    <w:p w14:paraId="5D38073C" w14:textId="78C932D6" w:rsidR="00A07440" w:rsidRDefault="00A07440" w:rsidP="00A07440">
      <w:pPr>
        <w:tabs>
          <w:tab w:val="left" w:pos="6440"/>
        </w:tabs>
        <w:spacing w:line="252" w:lineRule="auto"/>
        <w:jc w:val="both"/>
        <w:rPr>
          <w:rFonts w:ascii="Garamond" w:hAnsi="Garamond"/>
          <w:color w:val="000000" w:themeColor="text1"/>
        </w:rPr>
      </w:pPr>
      <w:r>
        <w:rPr>
          <w:rFonts w:ascii="Garamond" w:hAnsi="Garamond"/>
          <w:color w:val="000000" w:themeColor="text1"/>
        </w:rPr>
        <w:t>En effet, tout en relevant que la baisse d’émissions constatée pour l’année 2022 est principalement imputable au secteur des bâtiments, ce rapport précise qu’elle résulte, pour l’essentiel, de trois phénomènes conjoncturels : des températures hivernales plus douces, la réduction de la consommation d’énergie fossile en raison de la guerre en Ukraine, ainsi qu’un recours accru au bois.</w:t>
      </w:r>
    </w:p>
    <w:p w14:paraId="497A712C" w14:textId="77777777" w:rsidR="00A07440" w:rsidRDefault="00A07440" w:rsidP="00A07440">
      <w:pPr>
        <w:tabs>
          <w:tab w:val="left" w:pos="6440"/>
        </w:tabs>
        <w:spacing w:line="252" w:lineRule="auto"/>
        <w:jc w:val="both"/>
        <w:rPr>
          <w:rFonts w:ascii="Garamond" w:hAnsi="Garamond"/>
          <w:color w:val="000000" w:themeColor="text1"/>
        </w:rPr>
      </w:pPr>
    </w:p>
    <w:p w14:paraId="79547FCB" w14:textId="52189EFA" w:rsidR="00A07440" w:rsidRDefault="00A07440" w:rsidP="00A07440">
      <w:pPr>
        <w:tabs>
          <w:tab w:val="left" w:pos="6440"/>
        </w:tabs>
        <w:spacing w:line="252" w:lineRule="auto"/>
        <w:jc w:val="both"/>
        <w:rPr>
          <w:rFonts w:ascii="Garamond" w:hAnsi="Garamond"/>
          <w:color w:val="000000" w:themeColor="text1"/>
        </w:rPr>
      </w:pPr>
      <w:r>
        <w:rPr>
          <w:rFonts w:ascii="Garamond" w:hAnsi="Garamond"/>
          <w:color w:val="000000" w:themeColor="text1"/>
        </w:rPr>
        <w:t xml:space="preserve">En ce sens, le rapport relève : </w:t>
      </w:r>
    </w:p>
    <w:p w14:paraId="39B794A5" w14:textId="77777777" w:rsidR="00A07440" w:rsidRDefault="00A07440" w:rsidP="00A07440">
      <w:pPr>
        <w:tabs>
          <w:tab w:val="left" w:pos="6440"/>
        </w:tabs>
        <w:spacing w:line="252" w:lineRule="auto"/>
        <w:jc w:val="both"/>
        <w:rPr>
          <w:rFonts w:ascii="Garamond" w:hAnsi="Garamond"/>
          <w:color w:val="000000" w:themeColor="text1"/>
        </w:rPr>
      </w:pPr>
    </w:p>
    <w:p w14:paraId="52CE4832" w14:textId="47521470" w:rsidR="00A07440" w:rsidRDefault="00A07440" w:rsidP="00A07440">
      <w:pPr>
        <w:tabs>
          <w:tab w:val="left" w:pos="6440"/>
        </w:tabs>
        <w:spacing w:line="252" w:lineRule="auto"/>
        <w:ind w:left="567"/>
        <w:jc w:val="both"/>
        <w:rPr>
          <w:rFonts w:ascii="Garamond" w:hAnsi="Garamond"/>
          <w:color w:val="000000" w:themeColor="text1"/>
        </w:rPr>
      </w:pPr>
      <w:r>
        <w:rPr>
          <w:rFonts w:ascii="Garamond" w:hAnsi="Garamond"/>
          <w:color w:val="000000" w:themeColor="text1"/>
        </w:rPr>
        <w:t>«</w:t>
      </w:r>
      <w:r w:rsidRPr="00EF0C20">
        <w:rPr>
          <w:rFonts w:ascii="Garamond" w:hAnsi="Garamond"/>
          <w:i/>
          <w:iCs/>
          <w:color w:val="000000" w:themeColor="text1"/>
        </w:rPr>
        <w:t xml:space="preserve"> Les émissions du secteur des bâtiments résidentiels et tertiaires de 2022 sont en forte baisse par rapport à celles de 2021 (-14,7%, soit 11,1 Mt Co2 eq). Le baromètre avait permis de montrer que cette baisse a été particulièrement forte en avril-mai et en octobre-novembre. Cela s’explique notamment par </w:t>
      </w:r>
      <w:r w:rsidRPr="00EF0C20">
        <w:rPr>
          <w:rFonts w:ascii="Garamond" w:hAnsi="Garamond"/>
          <w:i/>
          <w:iCs/>
          <w:color w:val="000000" w:themeColor="text1"/>
          <w:u w:val="single"/>
        </w:rPr>
        <w:t>une forte réduction de la consommation d’énergie fossile dans un contexte de crise énergétique avec une hausse des prix du gaz</w:t>
      </w:r>
      <w:r w:rsidRPr="00EF0C20">
        <w:rPr>
          <w:rFonts w:ascii="Garamond" w:hAnsi="Garamond"/>
          <w:i/>
          <w:iCs/>
          <w:color w:val="000000" w:themeColor="text1"/>
        </w:rPr>
        <w:t xml:space="preserve"> et d’autres produits pétroliers, </w:t>
      </w:r>
      <w:r w:rsidRPr="00A07440">
        <w:rPr>
          <w:rFonts w:ascii="Garamond" w:hAnsi="Garamond"/>
          <w:color w:val="000000" w:themeColor="text1"/>
        </w:rPr>
        <w:t xml:space="preserve">[…] </w:t>
      </w:r>
      <w:r w:rsidRPr="00EF0C20">
        <w:rPr>
          <w:rFonts w:ascii="Garamond" w:hAnsi="Garamond"/>
          <w:i/>
          <w:iCs/>
          <w:color w:val="000000" w:themeColor="text1"/>
        </w:rPr>
        <w:t xml:space="preserve">un </w:t>
      </w:r>
      <w:r w:rsidRPr="00A07440">
        <w:rPr>
          <w:rFonts w:ascii="Garamond" w:hAnsi="Garamond"/>
          <w:i/>
          <w:iCs/>
          <w:color w:val="000000" w:themeColor="text1"/>
          <w:u w:val="single"/>
        </w:rPr>
        <w:t>recours accru au bois</w:t>
      </w:r>
      <w:r w:rsidRPr="00EF0C20">
        <w:rPr>
          <w:rFonts w:ascii="Garamond" w:hAnsi="Garamond"/>
          <w:i/>
          <w:iCs/>
          <w:color w:val="000000" w:themeColor="text1"/>
        </w:rPr>
        <w:t xml:space="preserve">, et </w:t>
      </w:r>
      <w:r w:rsidRPr="00A07440">
        <w:rPr>
          <w:rFonts w:ascii="Garamond" w:hAnsi="Garamond"/>
          <w:i/>
          <w:iCs/>
          <w:color w:val="000000" w:themeColor="text1"/>
        </w:rPr>
        <w:t xml:space="preserve">un </w:t>
      </w:r>
      <w:r w:rsidRPr="00EF0C20">
        <w:rPr>
          <w:rFonts w:ascii="Garamond" w:hAnsi="Garamond"/>
          <w:i/>
          <w:iCs/>
          <w:color w:val="000000" w:themeColor="text1"/>
          <w:u w:val="single"/>
        </w:rPr>
        <w:t>hiver doux</w:t>
      </w:r>
      <w:r w:rsidRPr="00EF0C20">
        <w:rPr>
          <w:rFonts w:ascii="Garamond" w:hAnsi="Garamond"/>
          <w:i/>
          <w:iCs/>
          <w:color w:val="000000" w:themeColor="text1"/>
        </w:rPr>
        <w:t xml:space="preserve"> (indice de rigueur de 0,935 en 2022 contre 0,984 en 2021 </w:t>
      </w:r>
      <w:r>
        <w:rPr>
          <w:rFonts w:ascii="Garamond" w:hAnsi="Garamond"/>
          <w:color w:val="000000" w:themeColor="text1"/>
        </w:rPr>
        <w:t xml:space="preserve">» (CITEPA, </w:t>
      </w:r>
      <w:r w:rsidRPr="00EF0C20">
        <w:rPr>
          <w:rFonts w:ascii="Garamond" w:hAnsi="Garamond"/>
          <w:i/>
          <w:iCs/>
          <w:color w:val="000000" w:themeColor="text1"/>
        </w:rPr>
        <w:t>Analyse du rapport Secten</w:t>
      </w:r>
      <w:r>
        <w:rPr>
          <w:rFonts w:ascii="Garamond" w:hAnsi="Garamond"/>
          <w:color w:val="000000" w:themeColor="text1"/>
        </w:rPr>
        <w:t>, 8 juin 2023</w:t>
      </w:r>
      <w:r>
        <w:rPr>
          <w:rStyle w:val="Appelnotedebasdep"/>
          <w:rFonts w:ascii="Garamond" w:hAnsi="Garamond"/>
          <w:color w:val="000000" w:themeColor="text1"/>
        </w:rPr>
        <w:footnoteReference w:id="1"/>
      </w:r>
      <w:r>
        <w:rPr>
          <w:rFonts w:ascii="Garamond" w:hAnsi="Garamond"/>
          <w:color w:val="000000" w:themeColor="text1"/>
        </w:rPr>
        <w:t xml:space="preserve">, soulignement ajouté). </w:t>
      </w:r>
    </w:p>
    <w:p w14:paraId="4EB4803A" w14:textId="77777777" w:rsidR="00A07440" w:rsidRDefault="00A07440" w:rsidP="00A07440">
      <w:pPr>
        <w:tabs>
          <w:tab w:val="left" w:pos="6440"/>
        </w:tabs>
        <w:spacing w:line="252" w:lineRule="auto"/>
        <w:jc w:val="both"/>
        <w:rPr>
          <w:rFonts w:ascii="Garamond" w:hAnsi="Garamond"/>
          <w:color w:val="000000" w:themeColor="text1"/>
        </w:rPr>
      </w:pPr>
    </w:p>
    <w:p w14:paraId="7DA817A5" w14:textId="5DD649D8" w:rsidR="00A07440" w:rsidRDefault="00A07440" w:rsidP="00A07440">
      <w:pPr>
        <w:tabs>
          <w:tab w:val="left" w:pos="6440"/>
        </w:tabs>
        <w:spacing w:line="252" w:lineRule="auto"/>
        <w:jc w:val="both"/>
        <w:rPr>
          <w:rFonts w:ascii="Garamond" w:hAnsi="Garamond"/>
          <w:color w:val="000000" w:themeColor="text1"/>
        </w:rPr>
      </w:pPr>
      <w:r>
        <w:rPr>
          <w:rFonts w:ascii="Garamond" w:hAnsi="Garamond"/>
          <w:color w:val="000000" w:themeColor="text1"/>
        </w:rPr>
        <w:t xml:space="preserve">De reste, l’indice de rigueur observé en 2022 est plus faible que celui observé en 2021, déjà caractérisé par un indice bas, même si l’année 2020 demeure, de ce point de vue, celle présentant </w:t>
      </w:r>
      <w:r>
        <w:rPr>
          <w:rFonts w:ascii="Garamond" w:hAnsi="Garamond"/>
          <w:color w:val="000000" w:themeColor="text1"/>
        </w:rPr>
        <w:lastRenderedPageBreak/>
        <w:t xml:space="preserve">l’indice rigueur le plus bas sur la période du second budget carbone (en ce sens : CITEPA, </w:t>
      </w:r>
      <w:r w:rsidRPr="00A07440">
        <w:rPr>
          <w:rFonts w:ascii="Garamond" w:hAnsi="Garamond"/>
          <w:i/>
          <w:iCs/>
          <w:color w:val="000000" w:themeColor="text1"/>
        </w:rPr>
        <w:t>Rapport Secten</w:t>
      </w:r>
      <w:r>
        <w:rPr>
          <w:rFonts w:ascii="Garamond" w:hAnsi="Garamond"/>
          <w:color w:val="000000" w:themeColor="text1"/>
        </w:rPr>
        <w:t xml:space="preserve">, juin 2022, p. 8 et p. 96). </w:t>
      </w:r>
    </w:p>
    <w:p w14:paraId="57EA3363" w14:textId="77777777" w:rsidR="00A07440" w:rsidRDefault="00A07440" w:rsidP="00A07440">
      <w:pPr>
        <w:spacing w:line="252" w:lineRule="auto"/>
        <w:jc w:val="both"/>
        <w:rPr>
          <w:rFonts w:ascii="Garamond" w:hAnsi="Garamond"/>
        </w:rPr>
      </w:pPr>
    </w:p>
    <w:p w14:paraId="4EC253F3" w14:textId="77777777" w:rsidR="00A07440" w:rsidRPr="00F52A38" w:rsidRDefault="00A07440" w:rsidP="00A07440">
      <w:pPr>
        <w:numPr>
          <w:ilvl w:val="0"/>
          <w:numId w:val="1"/>
        </w:numPr>
        <w:spacing w:line="252" w:lineRule="auto"/>
        <w:ind w:left="0" w:firstLine="0"/>
        <w:jc w:val="both"/>
        <w:rPr>
          <w:rFonts w:ascii="Garamond" w:hAnsi="Garamond"/>
          <w:color w:val="000000" w:themeColor="text1"/>
        </w:rPr>
      </w:pPr>
    </w:p>
    <w:p w14:paraId="101B7C34" w14:textId="77777777" w:rsidR="00A07440" w:rsidRDefault="00A07440" w:rsidP="00A07440">
      <w:pPr>
        <w:tabs>
          <w:tab w:val="left" w:pos="6440"/>
        </w:tabs>
        <w:spacing w:line="252" w:lineRule="auto"/>
        <w:jc w:val="both"/>
        <w:rPr>
          <w:rFonts w:ascii="Garamond" w:hAnsi="Garamond"/>
          <w:color w:val="000000" w:themeColor="text1"/>
        </w:rPr>
      </w:pPr>
    </w:p>
    <w:p w14:paraId="7F4B79BE" w14:textId="2860F7E3"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Par conséquent, dès lors qu</w:t>
      </w:r>
      <w:r w:rsidR="00F86CA7">
        <w:rPr>
          <w:rFonts w:ascii="Garamond" w:hAnsi="Garamond"/>
          <w:color w:val="000000" w:themeColor="text1"/>
        </w:rPr>
        <w:t>’</w:t>
      </w:r>
      <w:r>
        <w:rPr>
          <w:rFonts w:ascii="Garamond" w:hAnsi="Garamond"/>
          <w:color w:val="000000" w:themeColor="text1"/>
        </w:rPr>
        <w:t>il est établi que les baisses d</w:t>
      </w:r>
      <w:r w:rsidR="00F86CA7">
        <w:rPr>
          <w:rFonts w:ascii="Garamond" w:hAnsi="Garamond"/>
          <w:color w:val="000000" w:themeColor="text1"/>
        </w:rPr>
        <w:t>’</w:t>
      </w:r>
      <w:r>
        <w:rPr>
          <w:rFonts w:ascii="Garamond" w:hAnsi="Garamond"/>
          <w:color w:val="000000" w:themeColor="text1"/>
        </w:rPr>
        <w:t>émissions constatées en 2020, 2021 et 2022 ne sont pas exclusivement imputables à l</w:t>
      </w:r>
      <w:r w:rsidR="00F86CA7">
        <w:rPr>
          <w:rFonts w:ascii="Garamond" w:hAnsi="Garamond"/>
          <w:color w:val="000000" w:themeColor="text1"/>
        </w:rPr>
        <w:t>’</w:t>
      </w:r>
      <w:r>
        <w:rPr>
          <w:rFonts w:ascii="Garamond" w:hAnsi="Garamond"/>
          <w:color w:val="000000" w:themeColor="text1"/>
        </w:rPr>
        <w:t>action de l</w:t>
      </w:r>
      <w:r w:rsidR="00F86CA7">
        <w:rPr>
          <w:rFonts w:ascii="Garamond" w:hAnsi="Garamond"/>
          <w:color w:val="000000" w:themeColor="text1"/>
        </w:rPr>
        <w:t>’</w:t>
      </w:r>
      <w:r>
        <w:rPr>
          <w:rFonts w:ascii="Garamond" w:hAnsi="Garamond"/>
          <w:color w:val="000000" w:themeColor="text1"/>
        </w:rPr>
        <w:t>État</w:t>
      </w:r>
      <w:r w:rsidR="00A07440">
        <w:rPr>
          <w:rFonts w:ascii="Garamond" w:hAnsi="Garamond"/>
          <w:color w:val="000000" w:themeColor="text1"/>
        </w:rPr>
        <w:t xml:space="preserve"> – mais résultent, pour partie, de facteurs conjoncturels et météorologiques –</w:t>
      </w:r>
      <w:r>
        <w:rPr>
          <w:rFonts w:ascii="Garamond" w:hAnsi="Garamond"/>
          <w:color w:val="000000" w:themeColor="text1"/>
        </w:rPr>
        <w:t>, celui-ci ne peut être regardé comme ayant procédé à l</w:t>
      </w:r>
      <w:r w:rsidR="00F86CA7">
        <w:rPr>
          <w:rFonts w:ascii="Garamond" w:hAnsi="Garamond"/>
          <w:color w:val="000000" w:themeColor="text1"/>
        </w:rPr>
        <w:t>’</w:t>
      </w:r>
      <w:r>
        <w:rPr>
          <w:rFonts w:ascii="Garamond" w:hAnsi="Garamond"/>
          <w:color w:val="000000" w:themeColor="text1"/>
        </w:rPr>
        <w:t>exécution de l</w:t>
      </w:r>
      <w:r w:rsidR="00F86CA7">
        <w:rPr>
          <w:rFonts w:ascii="Garamond" w:hAnsi="Garamond"/>
          <w:color w:val="000000" w:themeColor="text1"/>
        </w:rPr>
        <w:t>’</w:t>
      </w:r>
      <w:r>
        <w:rPr>
          <w:rFonts w:ascii="Garamond" w:hAnsi="Garamond"/>
          <w:color w:val="000000" w:themeColor="text1"/>
        </w:rPr>
        <w:t xml:space="preserve">injonction prononcée par le Tribunal administratif de Paris. </w:t>
      </w:r>
    </w:p>
    <w:p w14:paraId="61C42AD7" w14:textId="77777777" w:rsidR="008325AB" w:rsidRDefault="008325AB" w:rsidP="00A76C93">
      <w:pPr>
        <w:tabs>
          <w:tab w:val="left" w:pos="6440"/>
        </w:tabs>
        <w:spacing w:line="252" w:lineRule="auto"/>
        <w:jc w:val="both"/>
        <w:rPr>
          <w:rFonts w:ascii="Garamond" w:hAnsi="Garamond"/>
          <w:color w:val="000000" w:themeColor="text1"/>
        </w:rPr>
      </w:pPr>
    </w:p>
    <w:p w14:paraId="1C729F29" w14:textId="4EE6529E"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effet, à supposer que ces baisses aient permis – arithmétiquement – de compenser le surplus d</w:t>
      </w:r>
      <w:r w:rsidR="00F86CA7">
        <w:rPr>
          <w:rFonts w:ascii="Garamond" w:hAnsi="Garamond"/>
          <w:color w:val="000000" w:themeColor="text1"/>
        </w:rPr>
        <w:t>’</w:t>
      </w:r>
      <w:r>
        <w:rPr>
          <w:rFonts w:ascii="Garamond" w:hAnsi="Garamond"/>
          <w:color w:val="000000" w:themeColor="text1"/>
        </w:rPr>
        <w:t>émissions lié au dépassement du premier budget carbone, cette compensation ne résulterait pas d</w:t>
      </w:r>
      <w:r w:rsidR="00F86CA7">
        <w:rPr>
          <w:rFonts w:ascii="Garamond" w:hAnsi="Garamond"/>
          <w:color w:val="000000" w:themeColor="text1"/>
        </w:rPr>
        <w:t>’</w:t>
      </w:r>
      <w:r>
        <w:rPr>
          <w:rFonts w:ascii="Garamond" w:hAnsi="Garamond"/>
          <w:color w:val="000000" w:themeColor="text1"/>
        </w:rPr>
        <w:t>une action spécifique de l</w:t>
      </w:r>
      <w:r w:rsidR="00F86CA7">
        <w:rPr>
          <w:rFonts w:ascii="Garamond" w:hAnsi="Garamond"/>
          <w:color w:val="000000" w:themeColor="text1"/>
        </w:rPr>
        <w:t>’</w:t>
      </w:r>
      <w:r>
        <w:rPr>
          <w:rFonts w:ascii="Garamond" w:hAnsi="Garamond"/>
          <w:color w:val="000000" w:themeColor="text1"/>
        </w:rPr>
        <w:t>État mais reposerait, pour l</w:t>
      </w:r>
      <w:r w:rsidR="00F86CA7">
        <w:rPr>
          <w:rFonts w:ascii="Garamond" w:hAnsi="Garamond"/>
          <w:color w:val="000000" w:themeColor="text1"/>
        </w:rPr>
        <w:t>’</w:t>
      </w:r>
      <w:r>
        <w:rPr>
          <w:rFonts w:ascii="Garamond" w:hAnsi="Garamond"/>
          <w:color w:val="000000" w:themeColor="text1"/>
        </w:rPr>
        <w:t>essentiel, sur des facteurs exogènes et conjoncturels, non imputables à l</w:t>
      </w:r>
      <w:r w:rsidR="00F86CA7">
        <w:rPr>
          <w:rFonts w:ascii="Garamond" w:hAnsi="Garamond"/>
          <w:color w:val="000000" w:themeColor="text1"/>
        </w:rPr>
        <w:t>’</w:t>
      </w:r>
      <w:r>
        <w:rPr>
          <w:rFonts w:ascii="Garamond" w:hAnsi="Garamond"/>
          <w:color w:val="000000" w:themeColor="text1"/>
        </w:rPr>
        <w:t xml:space="preserve">État. </w:t>
      </w:r>
    </w:p>
    <w:p w14:paraId="33467E79" w14:textId="77777777" w:rsidR="008325AB" w:rsidRDefault="008325AB" w:rsidP="00A76C93">
      <w:pPr>
        <w:tabs>
          <w:tab w:val="left" w:pos="6440"/>
        </w:tabs>
        <w:spacing w:line="252" w:lineRule="auto"/>
        <w:jc w:val="both"/>
        <w:rPr>
          <w:rFonts w:ascii="Garamond" w:hAnsi="Garamond"/>
          <w:color w:val="000000" w:themeColor="text1"/>
        </w:rPr>
      </w:pPr>
    </w:p>
    <w:p w14:paraId="5BBD5B6C" w14:textId="7FD97CAF"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De sorte que l</w:t>
      </w:r>
      <w:r w:rsidR="00F86CA7">
        <w:rPr>
          <w:rFonts w:ascii="Garamond" w:hAnsi="Garamond"/>
          <w:color w:val="000000" w:themeColor="text1"/>
        </w:rPr>
        <w:t>’</w:t>
      </w:r>
      <w:r>
        <w:rPr>
          <w:rFonts w:ascii="Garamond" w:hAnsi="Garamond"/>
          <w:color w:val="000000" w:themeColor="text1"/>
        </w:rPr>
        <w:t>État ne p</w:t>
      </w:r>
      <w:r w:rsidR="00A07440">
        <w:rPr>
          <w:rFonts w:ascii="Garamond" w:hAnsi="Garamond"/>
          <w:color w:val="000000" w:themeColor="text1"/>
        </w:rPr>
        <w:t>eut</w:t>
      </w:r>
      <w:r>
        <w:rPr>
          <w:rFonts w:ascii="Garamond" w:hAnsi="Garamond"/>
          <w:color w:val="000000" w:themeColor="text1"/>
        </w:rPr>
        <w:t>, pour ce motif déjà, être regardé comme ayant remédié aux causes du préjudice et, par suite, comme ayant procédé à l</w:t>
      </w:r>
      <w:r w:rsidR="00F86CA7">
        <w:rPr>
          <w:rFonts w:ascii="Garamond" w:hAnsi="Garamond"/>
          <w:color w:val="000000" w:themeColor="text1"/>
        </w:rPr>
        <w:t>’</w:t>
      </w:r>
      <w:r>
        <w:rPr>
          <w:rFonts w:ascii="Garamond" w:hAnsi="Garamond"/>
          <w:color w:val="000000" w:themeColor="text1"/>
        </w:rPr>
        <w:t xml:space="preserve">exécution complète du jugement du 14 octobre 2021. </w:t>
      </w:r>
    </w:p>
    <w:p w14:paraId="54475A9E" w14:textId="00DBD2AB" w:rsidR="008325AB" w:rsidRDefault="008325AB">
      <w:pPr>
        <w:rPr>
          <w:rFonts w:ascii="Garamond" w:hAnsi="Garamond"/>
          <w:color w:val="000000" w:themeColor="text1"/>
        </w:rPr>
      </w:pPr>
    </w:p>
    <w:p w14:paraId="4A7465BE" w14:textId="77777777" w:rsidR="00A07440" w:rsidRDefault="00A07440">
      <w:pPr>
        <w:rPr>
          <w:rFonts w:ascii="Garamond" w:hAnsi="Garamond"/>
          <w:color w:val="000000" w:themeColor="text1"/>
        </w:rPr>
      </w:pPr>
    </w:p>
    <w:p w14:paraId="590DA58B" w14:textId="77777777" w:rsidR="00A07440" w:rsidRDefault="00A07440">
      <w:pPr>
        <w:rPr>
          <w:rFonts w:ascii="Garamond" w:hAnsi="Garamond"/>
          <w:color w:val="000000" w:themeColor="text1"/>
        </w:rPr>
      </w:pPr>
    </w:p>
    <w:p w14:paraId="62A7CB3F" w14:textId="2DCD43FF" w:rsidR="008325AB" w:rsidRPr="00A76C93" w:rsidRDefault="008325AB" w:rsidP="008325AB">
      <w:pPr>
        <w:pStyle w:val="Titre2"/>
        <w:spacing w:line="252" w:lineRule="auto"/>
        <w:ind w:left="851" w:right="0" w:hanging="851"/>
        <w:jc w:val="both"/>
        <w:rPr>
          <w:rFonts w:ascii="Garamond" w:hAnsi="Garamond"/>
          <w:i/>
          <w:iCs/>
          <w:color w:val="000000" w:themeColor="text1"/>
          <w:sz w:val="24"/>
          <w:szCs w:val="24"/>
          <w:u w:val="single"/>
        </w:rPr>
      </w:pPr>
      <w:r w:rsidRPr="00F64650">
        <w:rPr>
          <w:rFonts w:ascii="Garamond" w:hAnsi="Garamond"/>
          <w:smallCaps/>
          <w:color w:val="000000" w:themeColor="text1"/>
          <w:sz w:val="24"/>
          <w:szCs w:val="24"/>
        </w:rPr>
        <w:t>I.</w:t>
      </w:r>
      <w:r>
        <w:rPr>
          <w:rFonts w:ascii="Garamond" w:hAnsi="Garamond"/>
          <w:smallCaps/>
          <w:color w:val="000000" w:themeColor="text1"/>
          <w:sz w:val="24"/>
          <w:szCs w:val="24"/>
        </w:rPr>
        <w:t>B</w:t>
      </w:r>
      <w:r w:rsidRPr="00F64650">
        <w:rPr>
          <w:rFonts w:ascii="Garamond" w:hAnsi="Garamond"/>
          <w:smallCaps/>
          <w:color w:val="000000" w:themeColor="text1"/>
          <w:sz w:val="24"/>
          <w:szCs w:val="24"/>
        </w:rPr>
        <w:t xml:space="preserve">] </w:t>
      </w:r>
      <w:r w:rsidRPr="00F64650">
        <w:rPr>
          <w:rFonts w:ascii="Garamond" w:hAnsi="Garamond"/>
          <w:smallCaps/>
          <w:color w:val="000000" w:themeColor="text1"/>
          <w:sz w:val="24"/>
          <w:szCs w:val="24"/>
        </w:rPr>
        <w:tab/>
      </w:r>
      <w:r>
        <w:rPr>
          <w:rFonts w:ascii="Garamond" w:hAnsi="Garamond"/>
          <w:i/>
          <w:iCs/>
          <w:color w:val="000000" w:themeColor="text1"/>
          <w:sz w:val="24"/>
          <w:szCs w:val="24"/>
          <w:u w:val="single"/>
        </w:rPr>
        <w:t>S</w:t>
      </w:r>
      <w:r w:rsidRPr="00A76C93">
        <w:rPr>
          <w:rFonts w:ascii="Garamond" w:hAnsi="Garamond"/>
          <w:i/>
          <w:iCs/>
          <w:color w:val="000000" w:themeColor="text1"/>
          <w:sz w:val="24"/>
          <w:szCs w:val="24"/>
          <w:u w:val="single"/>
        </w:rPr>
        <w:t xml:space="preserve">ur </w:t>
      </w:r>
      <w:r>
        <w:rPr>
          <w:rFonts w:ascii="Garamond" w:hAnsi="Garamond"/>
          <w:i/>
          <w:iCs/>
          <w:color w:val="000000" w:themeColor="text1"/>
          <w:sz w:val="24"/>
          <w:szCs w:val="24"/>
          <w:u w:val="single"/>
        </w:rPr>
        <w:t>la décorrélation manifeste entre le volume des émissions de GES et l</w:t>
      </w:r>
      <w:r w:rsidR="00F86CA7">
        <w:rPr>
          <w:rFonts w:ascii="Garamond" w:hAnsi="Garamond"/>
          <w:i/>
          <w:iCs/>
          <w:color w:val="000000" w:themeColor="text1"/>
          <w:sz w:val="24"/>
          <w:szCs w:val="24"/>
          <w:u w:val="single"/>
        </w:rPr>
        <w:t>’</w:t>
      </w:r>
      <w:r>
        <w:rPr>
          <w:rFonts w:ascii="Garamond" w:hAnsi="Garamond"/>
          <w:i/>
          <w:iCs/>
          <w:color w:val="000000" w:themeColor="text1"/>
          <w:sz w:val="24"/>
          <w:szCs w:val="24"/>
          <w:u w:val="single"/>
        </w:rPr>
        <w:t>action de l</w:t>
      </w:r>
      <w:r w:rsidR="00F86CA7">
        <w:rPr>
          <w:rFonts w:ascii="Garamond" w:hAnsi="Garamond"/>
          <w:i/>
          <w:iCs/>
          <w:color w:val="000000" w:themeColor="text1"/>
          <w:sz w:val="24"/>
          <w:szCs w:val="24"/>
          <w:u w:val="single"/>
        </w:rPr>
        <w:t>’</w:t>
      </w:r>
      <w:r>
        <w:rPr>
          <w:rFonts w:ascii="Garamond" w:hAnsi="Garamond"/>
          <w:i/>
          <w:iCs/>
          <w:color w:val="000000" w:themeColor="text1"/>
          <w:sz w:val="24"/>
          <w:szCs w:val="24"/>
          <w:u w:val="single"/>
        </w:rPr>
        <w:t>État</w:t>
      </w:r>
      <w:r w:rsidRPr="00A76C93">
        <w:rPr>
          <w:rFonts w:ascii="Garamond" w:hAnsi="Garamond"/>
          <w:i/>
          <w:iCs/>
          <w:color w:val="000000" w:themeColor="text1"/>
          <w:sz w:val="24"/>
          <w:szCs w:val="24"/>
          <w:u w:val="single"/>
        </w:rPr>
        <w:t xml:space="preserve"> </w:t>
      </w:r>
    </w:p>
    <w:p w14:paraId="5A2D2D8A" w14:textId="77777777" w:rsidR="008325AB" w:rsidRDefault="008325AB" w:rsidP="008325AB">
      <w:pPr>
        <w:spacing w:line="252" w:lineRule="auto"/>
        <w:jc w:val="both"/>
        <w:rPr>
          <w:rFonts w:ascii="Garamond" w:hAnsi="Garamond"/>
        </w:rPr>
      </w:pPr>
    </w:p>
    <w:p w14:paraId="1238F86D" w14:textId="77777777" w:rsidR="008325AB" w:rsidRPr="00F52A38" w:rsidRDefault="008325AB" w:rsidP="008325AB">
      <w:pPr>
        <w:numPr>
          <w:ilvl w:val="0"/>
          <w:numId w:val="1"/>
        </w:numPr>
        <w:spacing w:line="252" w:lineRule="auto"/>
        <w:ind w:left="0" w:firstLine="0"/>
        <w:jc w:val="both"/>
        <w:rPr>
          <w:rFonts w:ascii="Garamond" w:hAnsi="Garamond"/>
          <w:color w:val="000000" w:themeColor="text1"/>
        </w:rPr>
      </w:pPr>
    </w:p>
    <w:p w14:paraId="2E9F39A7" w14:textId="77777777" w:rsidR="008325AB" w:rsidRDefault="008325AB" w:rsidP="008325AB">
      <w:pPr>
        <w:tabs>
          <w:tab w:val="left" w:pos="6440"/>
        </w:tabs>
        <w:spacing w:line="252" w:lineRule="auto"/>
        <w:jc w:val="both"/>
        <w:rPr>
          <w:rFonts w:ascii="Garamond" w:hAnsi="Garamond"/>
          <w:color w:val="000000" w:themeColor="text1"/>
        </w:rPr>
      </w:pPr>
    </w:p>
    <w:p w14:paraId="4534D645" w14:textId="0BB2C744" w:rsidR="008325AB" w:rsidRDefault="008325AB" w:rsidP="00A76C93">
      <w:pPr>
        <w:tabs>
          <w:tab w:val="left" w:pos="6440"/>
        </w:tabs>
        <w:spacing w:line="252" w:lineRule="auto"/>
        <w:jc w:val="both"/>
        <w:rPr>
          <w:rFonts w:ascii="Garamond" w:hAnsi="Garamond"/>
          <w:color w:val="000000" w:themeColor="text1"/>
        </w:rPr>
      </w:pPr>
      <w:r w:rsidRPr="008325AB">
        <w:rPr>
          <w:rFonts w:ascii="Garamond" w:hAnsi="Garamond"/>
          <w:b/>
          <w:bCs/>
          <w:color w:val="000000" w:themeColor="text1"/>
          <w:u w:val="single"/>
        </w:rPr>
        <w:t>En deuxième lieu</w:t>
      </w:r>
      <w:r>
        <w:rPr>
          <w:rFonts w:ascii="Garamond" w:hAnsi="Garamond"/>
          <w:color w:val="000000" w:themeColor="text1"/>
        </w:rPr>
        <w:t>, il apparaît que l</w:t>
      </w:r>
      <w:r w:rsidR="00A76C93" w:rsidRPr="00A76C93">
        <w:rPr>
          <w:rFonts w:ascii="Garamond" w:hAnsi="Garamond"/>
          <w:color w:val="000000" w:themeColor="text1"/>
        </w:rPr>
        <w:t xml:space="preserve">es </w:t>
      </w:r>
      <w:r>
        <w:rPr>
          <w:rFonts w:ascii="Garamond" w:hAnsi="Garamond"/>
          <w:color w:val="000000" w:themeColor="text1"/>
        </w:rPr>
        <w:t>volumes d</w:t>
      </w:r>
      <w:r w:rsidR="00F86CA7">
        <w:rPr>
          <w:rFonts w:ascii="Garamond" w:hAnsi="Garamond"/>
          <w:color w:val="000000" w:themeColor="text1"/>
        </w:rPr>
        <w:t>’</w:t>
      </w:r>
      <w:r>
        <w:rPr>
          <w:rFonts w:ascii="Garamond" w:hAnsi="Garamond"/>
          <w:color w:val="000000" w:themeColor="text1"/>
        </w:rPr>
        <w:t>émissions constatés</w:t>
      </w:r>
      <w:r w:rsidR="00A76C93" w:rsidRPr="00A76C93">
        <w:rPr>
          <w:rFonts w:ascii="Garamond" w:hAnsi="Garamond"/>
          <w:color w:val="000000" w:themeColor="text1"/>
        </w:rPr>
        <w:t xml:space="preserve"> ne sont pas parfaitement corrélés avec les politiques publiques mises en œuvre sur la période de référence. </w:t>
      </w:r>
    </w:p>
    <w:p w14:paraId="6486DF5A" w14:textId="77777777" w:rsidR="008325AB" w:rsidRDefault="008325AB" w:rsidP="00A76C93">
      <w:pPr>
        <w:tabs>
          <w:tab w:val="left" w:pos="6440"/>
        </w:tabs>
        <w:spacing w:line="252" w:lineRule="auto"/>
        <w:jc w:val="both"/>
        <w:rPr>
          <w:rFonts w:ascii="Garamond" w:hAnsi="Garamond"/>
          <w:color w:val="000000" w:themeColor="text1"/>
        </w:rPr>
      </w:pPr>
    </w:p>
    <w:p w14:paraId="1D571C51" w14:textId="36C616D5" w:rsidR="00A76C93"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À nouveau, c</w:t>
      </w:r>
      <w:r w:rsidR="00A76C93" w:rsidRPr="00A76C93">
        <w:rPr>
          <w:rFonts w:ascii="Garamond" w:hAnsi="Garamond"/>
          <w:color w:val="000000" w:themeColor="text1"/>
        </w:rPr>
        <w:t xml:space="preserve">e constat conduit à nuancer </w:t>
      </w:r>
      <w:r>
        <w:rPr>
          <w:rFonts w:ascii="Garamond" w:hAnsi="Garamond"/>
          <w:color w:val="000000" w:themeColor="text1"/>
        </w:rPr>
        <w:t>l</w:t>
      </w:r>
      <w:r w:rsidR="00F86CA7">
        <w:rPr>
          <w:rFonts w:ascii="Garamond" w:hAnsi="Garamond"/>
          <w:color w:val="000000" w:themeColor="text1"/>
        </w:rPr>
        <w:t>’</w:t>
      </w:r>
      <w:r>
        <w:rPr>
          <w:rFonts w:ascii="Garamond" w:hAnsi="Garamond"/>
          <w:color w:val="000000" w:themeColor="text1"/>
        </w:rPr>
        <w:t xml:space="preserve">imputabilité des </w:t>
      </w:r>
      <w:r w:rsidR="00A76C93" w:rsidRPr="00A76C93">
        <w:rPr>
          <w:rFonts w:ascii="Garamond" w:hAnsi="Garamond"/>
          <w:color w:val="000000" w:themeColor="text1"/>
        </w:rPr>
        <w:t>réductions constatées à l</w:t>
      </w:r>
      <w:r w:rsidR="00F86CA7">
        <w:rPr>
          <w:rFonts w:ascii="Garamond" w:hAnsi="Garamond"/>
          <w:color w:val="000000" w:themeColor="text1"/>
        </w:rPr>
        <w:t>’</w:t>
      </w:r>
      <w:r w:rsidR="00A76C93" w:rsidRPr="00A76C93">
        <w:rPr>
          <w:rFonts w:ascii="Garamond" w:hAnsi="Garamond"/>
          <w:color w:val="000000" w:themeColor="text1"/>
        </w:rPr>
        <w:t>action de l</w:t>
      </w:r>
      <w:r w:rsidR="00F86CA7">
        <w:rPr>
          <w:rFonts w:ascii="Garamond" w:hAnsi="Garamond"/>
          <w:color w:val="000000" w:themeColor="text1"/>
        </w:rPr>
        <w:t>’</w:t>
      </w:r>
      <w:r w:rsidR="00A76C93" w:rsidRPr="00A76C93">
        <w:rPr>
          <w:rFonts w:ascii="Garamond" w:hAnsi="Garamond"/>
          <w:color w:val="000000" w:themeColor="text1"/>
        </w:rPr>
        <w:t xml:space="preserve">État. </w:t>
      </w:r>
    </w:p>
    <w:p w14:paraId="3E9427B8" w14:textId="77777777" w:rsidR="008325AB" w:rsidRPr="00A76C93" w:rsidRDefault="008325AB" w:rsidP="00A76C93">
      <w:pPr>
        <w:tabs>
          <w:tab w:val="left" w:pos="6440"/>
        </w:tabs>
        <w:spacing w:line="252" w:lineRule="auto"/>
        <w:jc w:val="both"/>
        <w:rPr>
          <w:rFonts w:ascii="Garamond" w:hAnsi="Garamond"/>
          <w:color w:val="000000" w:themeColor="text1"/>
        </w:rPr>
      </w:pPr>
    </w:p>
    <w:p w14:paraId="31E61184" w14:textId="035BA55C"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De ce point de vue, l</w:t>
      </w:r>
      <w:r w:rsidR="00F86CA7">
        <w:rPr>
          <w:rFonts w:ascii="Garamond" w:hAnsi="Garamond"/>
          <w:color w:val="000000" w:themeColor="text1"/>
        </w:rPr>
        <w:t>’</w:t>
      </w:r>
      <w:r w:rsidRPr="00A76C93">
        <w:rPr>
          <w:rFonts w:ascii="Garamond" w:hAnsi="Garamond"/>
          <w:color w:val="000000" w:themeColor="text1"/>
        </w:rPr>
        <w:t>examen des données d</w:t>
      </w:r>
      <w:r w:rsidR="00F86CA7">
        <w:rPr>
          <w:rFonts w:ascii="Garamond" w:hAnsi="Garamond"/>
          <w:color w:val="000000" w:themeColor="text1"/>
        </w:rPr>
        <w:t>’</w:t>
      </w:r>
      <w:r w:rsidRPr="00A76C93">
        <w:rPr>
          <w:rFonts w:ascii="Garamond" w:hAnsi="Garamond"/>
          <w:color w:val="000000" w:themeColor="text1"/>
        </w:rPr>
        <w:t>émission</w:t>
      </w:r>
      <w:r w:rsidR="00A07440">
        <w:rPr>
          <w:rFonts w:ascii="Garamond" w:hAnsi="Garamond"/>
          <w:color w:val="000000" w:themeColor="text1"/>
        </w:rPr>
        <w:t>s</w:t>
      </w:r>
      <w:r w:rsidRPr="00A76C93">
        <w:rPr>
          <w:rFonts w:ascii="Garamond" w:hAnsi="Garamond"/>
          <w:color w:val="000000" w:themeColor="text1"/>
        </w:rPr>
        <w:t xml:space="preserve"> par secteur d</w:t>
      </w:r>
      <w:r w:rsidR="00F86CA7">
        <w:rPr>
          <w:rFonts w:ascii="Garamond" w:hAnsi="Garamond"/>
          <w:color w:val="000000" w:themeColor="text1"/>
        </w:rPr>
        <w:t>’</w:t>
      </w:r>
      <w:r w:rsidRPr="00A76C93">
        <w:rPr>
          <w:rFonts w:ascii="Garamond" w:hAnsi="Garamond"/>
          <w:color w:val="000000" w:themeColor="text1"/>
        </w:rPr>
        <w:t>activité constitue une porte d</w:t>
      </w:r>
      <w:r w:rsidR="00F86CA7">
        <w:rPr>
          <w:rFonts w:ascii="Garamond" w:hAnsi="Garamond"/>
          <w:color w:val="000000" w:themeColor="text1"/>
        </w:rPr>
        <w:t>’</w:t>
      </w:r>
      <w:r w:rsidRPr="00A76C93">
        <w:rPr>
          <w:rFonts w:ascii="Garamond" w:hAnsi="Garamond"/>
          <w:color w:val="000000" w:themeColor="text1"/>
        </w:rPr>
        <w:t>entrée particulièrement intéressante pour évaluer, pour l</w:t>
      </w:r>
      <w:r w:rsidR="00F86CA7">
        <w:rPr>
          <w:rFonts w:ascii="Garamond" w:hAnsi="Garamond"/>
          <w:color w:val="000000" w:themeColor="text1"/>
        </w:rPr>
        <w:t>’</w:t>
      </w:r>
      <w:r w:rsidRPr="00A76C93">
        <w:rPr>
          <w:rFonts w:ascii="Garamond" w:hAnsi="Garamond"/>
          <w:color w:val="000000" w:themeColor="text1"/>
        </w:rPr>
        <w:t>année 2022, la part du conjoncturel et du structurel dans les réductions d</w:t>
      </w:r>
      <w:r w:rsidR="00F86CA7">
        <w:rPr>
          <w:rFonts w:ascii="Garamond" w:hAnsi="Garamond"/>
          <w:color w:val="000000" w:themeColor="text1"/>
        </w:rPr>
        <w:t>’</w:t>
      </w:r>
      <w:r w:rsidRPr="00A76C93">
        <w:rPr>
          <w:rFonts w:ascii="Garamond" w:hAnsi="Garamond"/>
          <w:color w:val="000000" w:themeColor="text1"/>
        </w:rPr>
        <w:t>émission</w:t>
      </w:r>
      <w:r w:rsidR="008325AB">
        <w:rPr>
          <w:rFonts w:ascii="Garamond" w:hAnsi="Garamond"/>
          <w:color w:val="000000" w:themeColor="text1"/>
        </w:rPr>
        <w:t>s</w:t>
      </w:r>
      <w:r w:rsidRPr="00A76C93">
        <w:rPr>
          <w:rFonts w:ascii="Garamond" w:hAnsi="Garamond"/>
          <w:color w:val="000000" w:themeColor="text1"/>
        </w:rPr>
        <w:t xml:space="preserve"> constatées. </w:t>
      </w:r>
    </w:p>
    <w:p w14:paraId="1EA2ED4B" w14:textId="77777777" w:rsidR="008325AB" w:rsidRDefault="008325AB" w:rsidP="008325AB">
      <w:pPr>
        <w:spacing w:line="252" w:lineRule="auto"/>
        <w:jc w:val="both"/>
        <w:rPr>
          <w:rFonts w:ascii="Garamond" w:hAnsi="Garamond"/>
        </w:rPr>
      </w:pPr>
    </w:p>
    <w:p w14:paraId="6B762358" w14:textId="77777777" w:rsidR="008325AB" w:rsidRPr="00F52A38" w:rsidRDefault="008325AB" w:rsidP="008325AB">
      <w:pPr>
        <w:numPr>
          <w:ilvl w:val="0"/>
          <w:numId w:val="1"/>
        </w:numPr>
        <w:spacing w:line="252" w:lineRule="auto"/>
        <w:ind w:left="0" w:firstLine="0"/>
        <w:jc w:val="both"/>
        <w:rPr>
          <w:rFonts w:ascii="Garamond" w:hAnsi="Garamond"/>
          <w:color w:val="000000" w:themeColor="text1"/>
        </w:rPr>
      </w:pPr>
    </w:p>
    <w:p w14:paraId="2E36E3A7" w14:textId="77777777" w:rsidR="008325AB" w:rsidRDefault="008325AB" w:rsidP="008325AB">
      <w:pPr>
        <w:tabs>
          <w:tab w:val="left" w:pos="6440"/>
        </w:tabs>
        <w:spacing w:line="252" w:lineRule="auto"/>
        <w:jc w:val="both"/>
        <w:rPr>
          <w:rFonts w:ascii="Garamond" w:hAnsi="Garamond"/>
          <w:color w:val="000000" w:themeColor="text1"/>
        </w:rPr>
      </w:pPr>
    </w:p>
    <w:p w14:paraId="623AB05F" w14:textId="6DE370E4" w:rsidR="00A76C93"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À cet égard</w:t>
      </w:r>
      <w:r w:rsidR="00A76C93" w:rsidRPr="00A76C93">
        <w:rPr>
          <w:rFonts w:ascii="Garamond" w:hAnsi="Garamond"/>
          <w:color w:val="000000" w:themeColor="text1"/>
        </w:rPr>
        <w:t>, l</w:t>
      </w:r>
      <w:r w:rsidR="00F86CA7">
        <w:rPr>
          <w:rFonts w:ascii="Garamond" w:hAnsi="Garamond"/>
          <w:color w:val="000000" w:themeColor="text1"/>
        </w:rPr>
        <w:t>’</w:t>
      </w:r>
      <w:r w:rsidR="00A76C93" w:rsidRPr="00A76C93">
        <w:rPr>
          <w:rFonts w:ascii="Garamond" w:hAnsi="Garamond"/>
          <w:color w:val="000000" w:themeColor="text1"/>
        </w:rPr>
        <w:t>examen des données d</w:t>
      </w:r>
      <w:r w:rsidR="00F86CA7">
        <w:rPr>
          <w:rFonts w:ascii="Garamond" w:hAnsi="Garamond"/>
          <w:color w:val="000000" w:themeColor="text1"/>
        </w:rPr>
        <w:t>’</w:t>
      </w:r>
      <w:r w:rsidR="00A76C93" w:rsidRPr="00A76C93">
        <w:rPr>
          <w:rFonts w:ascii="Garamond" w:hAnsi="Garamond"/>
          <w:color w:val="000000" w:themeColor="text1"/>
        </w:rPr>
        <w:t>émission</w:t>
      </w:r>
      <w:r w:rsidR="00A07440">
        <w:rPr>
          <w:rFonts w:ascii="Garamond" w:hAnsi="Garamond"/>
          <w:color w:val="000000" w:themeColor="text1"/>
        </w:rPr>
        <w:t>s</w:t>
      </w:r>
      <w:r w:rsidR="00A76C93" w:rsidRPr="00A76C93">
        <w:rPr>
          <w:rFonts w:ascii="Garamond" w:hAnsi="Garamond"/>
          <w:color w:val="000000" w:themeColor="text1"/>
        </w:rPr>
        <w:t xml:space="preserve"> du secteur du bâtiment, tertiaire et résidentiel, est particulièrement éloquent</w:t>
      </w:r>
      <w:r>
        <w:rPr>
          <w:rFonts w:ascii="Garamond" w:hAnsi="Garamond"/>
          <w:color w:val="000000" w:themeColor="text1"/>
        </w:rPr>
        <w:t>,</w:t>
      </w:r>
      <w:r w:rsidR="00A76C93" w:rsidRPr="00A76C93">
        <w:rPr>
          <w:rFonts w:ascii="Garamond" w:hAnsi="Garamond"/>
          <w:color w:val="000000" w:themeColor="text1"/>
        </w:rPr>
        <w:t xml:space="preserve"> en raison de la forte diminution constatée</w:t>
      </w:r>
      <w:r>
        <w:rPr>
          <w:rFonts w:ascii="Garamond" w:hAnsi="Garamond"/>
          <w:color w:val="000000" w:themeColor="text1"/>
        </w:rPr>
        <w:t>, en 2022, dans ce secteur.</w:t>
      </w:r>
      <w:r w:rsidR="00A76C93" w:rsidRPr="00A76C93">
        <w:rPr>
          <w:rFonts w:ascii="Garamond" w:hAnsi="Garamond"/>
          <w:color w:val="000000" w:themeColor="text1"/>
        </w:rPr>
        <w:t xml:space="preserve"> </w:t>
      </w:r>
    </w:p>
    <w:p w14:paraId="6C8D570E" w14:textId="77777777" w:rsidR="008325AB" w:rsidRPr="00A76C93" w:rsidRDefault="008325AB" w:rsidP="00A76C93">
      <w:pPr>
        <w:tabs>
          <w:tab w:val="left" w:pos="6440"/>
        </w:tabs>
        <w:spacing w:line="252" w:lineRule="auto"/>
        <w:jc w:val="both"/>
        <w:rPr>
          <w:rFonts w:ascii="Garamond" w:hAnsi="Garamond"/>
          <w:color w:val="000000" w:themeColor="text1"/>
        </w:rPr>
      </w:pPr>
    </w:p>
    <w:p w14:paraId="008D07EE" w14:textId="20C83E87"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En effet, selon les </w:t>
      </w:r>
      <w:r w:rsidR="008325AB">
        <w:rPr>
          <w:rFonts w:ascii="Garamond" w:hAnsi="Garamond"/>
          <w:color w:val="000000" w:themeColor="text1"/>
        </w:rPr>
        <w:t xml:space="preserve">dernières </w:t>
      </w:r>
      <w:r w:rsidRPr="00A76C93">
        <w:rPr>
          <w:rFonts w:ascii="Garamond" w:hAnsi="Garamond"/>
          <w:color w:val="000000" w:themeColor="text1"/>
        </w:rPr>
        <w:t xml:space="preserve">données </w:t>
      </w:r>
      <w:r w:rsidR="008325AB">
        <w:rPr>
          <w:rFonts w:ascii="Garamond" w:hAnsi="Garamond"/>
          <w:color w:val="000000" w:themeColor="text1"/>
        </w:rPr>
        <w:t xml:space="preserve">publiées par le CITEPA dans son rapport Secten pour 2023, </w:t>
      </w:r>
      <w:r w:rsidRPr="00A76C93">
        <w:rPr>
          <w:rFonts w:ascii="Garamond" w:hAnsi="Garamond"/>
          <w:color w:val="000000" w:themeColor="text1"/>
        </w:rPr>
        <w:t>les baisses d</w:t>
      </w:r>
      <w:r w:rsidR="00F86CA7">
        <w:rPr>
          <w:rFonts w:ascii="Garamond" w:hAnsi="Garamond"/>
          <w:color w:val="000000" w:themeColor="text1"/>
        </w:rPr>
        <w:t>’</w:t>
      </w:r>
      <w:r w:rsidRPr="00A76C93">
        <w:rPr>
          <w:rFonts w:ascii="Garamond" w:hAnsi="Garamond"/>
          <w:color w:val="000000" w:themeColor="text1"/>
        </w:rPr>
        <w:t xml:space="preserve">émissions </w:t>
      </w:r>
      <w:r w:rsidR="008325AB">
        <w:rPr>
          <w:rFonts w:ascii="Garamond" w:hAnsi="Garamond"/>
          <w:color w:val="000000" w:themeColor="text1"/>
        </w:rPr>
        <w:t xml:space="preserve">constatées en 2022 </w:t>
      </w:r>
      <w:r w:rsidRPr="00A76C93">
        <w:rPr>
          <w:rFonts w:ascii="Garamond" w:hAnsi="Garamond"/>
          <w:color w:val="000000" w:themeColor="text1"/>
        </w:rPr>
        <w:t>concernent</w:t>
      </w:r>
      <w:r w:rsidR="008325AB">
        <w:rPr>
          <w:rFonts w:ascii="Garamond" w:hAnsi="Garamond"/>
          <w:color w:val="000000" w:themeColor="text1"/>
        </w:rPr>
        <w:t>,</w:t>
      </w:r>
      <w:r w:rsidRPr="00A76C93">
        <w:rPr>
          <w:rFonts w:ascii="Garamond" w:hAnsi="Garamond"/>
          <w:color w:val="000000" w:themeColor="text1"/>
        </w:rPr>
        <w:t xml:space="preserve"> principalement</w:t>
      </w:r>
      <w:r w:rsidR="008325AB">
        <w:rPr>
          <w:rFonts w:ascii="Garamond" w:hAnsi="Garamond"/>
          <w:color w:val="000000" w:themeColor="text1"/>
        </w:rPr>
        <w:t>,</w:t>
      </w:r>
      <w:r w:rsidRPr="00A76C93">
        <w:rPr>
          <w:rFonts w:ascii="Garamond" w:hAnsi="Garamond"/>
          <w:color w:val="000000" w:themeColor="text1"/>
        </w:rPr>
        <w:t xml:space="preserve"> le secteur du bâtiment</w:t>
      </w:r>
      <w:r w:rsidR="008325AB">
        <w:rPr>
          <w:rFonts w:ascii="Garamond" w:hAnsi="Garamond"/>
          <w:color w:val="000000" w:themeColor="text1"/>
        </w:rPr>
        <w:t xml:space="preserve">. </w:t>
      </w:r>
    </w:p>
    <w:p w14:paraId="47D36B01" w14:textId="77777777" w:rsidR="008325AB" w:rsidRDefault="008325AB" w:rsidP="00A76C93">
      <w:pPr>
        <w:tabs>
          <w:tab w:val="left" w:pos="6440"/>
        </w:tabs>
        <w:spacing w:line="252" w:lineRule="auto"/>
        <w:jc w:val="both"/>
        <w:rPr>
          <w:rFonts w:ascii="Garamond" w:hAnsi="Garamond"/>
          <w:color w:val="000000" w:themeColor="text1"/>
        </w:rPr>
      </w:pPr>
    </w:p>
    <w:p w14:paraId="2A8F994D" w14:textId="7DEF28AB" w:rsidR="008325AB"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ce sens, ce rapport souligne que :</w:t>
      </w:r>
    </w:p>
    <w:p w14:paraId="4281B730" w14:textId="77777777" w:rsidR="008325AB" w:rsidRPr="00A76C93" w:rsidRDefault="008325AB" w:rsidP="00A76C93">
      <w:pPr>
        <w:tabs>
          <w:tab w:val="left" w:pos="6440"/>
        </w:tabs>
        <w:spacing w:line="252" w:lineRule="auto"/>
        <w:jc w:val="both"/>
        <w:rPr>
          <w:rFonts w:ascii="Garamond" w:hAnsi="Garamond"/>
          <w:color w:val="000000" w:themeColor="text1"/>
        </w:rPr>
      </w:pPr>
    </w:p>
    <w:p w14:paraId="3D75D9A7" w14:textId="385284E6" w:rsidR="00A76C93" w:rsidRDefault="00A76C93" w:rsidP="008325AB">
      <w:pPr>
        <w:tabs>
          <w:tab w:val="left" w:pos="6440"/>
        </w:tabs>
        <w:spacing w:line="252" w:lineRule="auto"/>
        <w:ind w:left="567"/>
        <w:jc w:val="both"/>
        <w:rPr>
          <w:rFonts w:ascii="Garamond" w:hAnsi="Garamond"/>
          <w:i/>
          <w:iCs/>
          <w:color w:val="000000" w:themeColor="text1"/>
        </w:rPr>
      </w:pPr>
      <w:r w:rsidRPr="00A76C93">
        <w:rPr>
          <w:rFonts w:ascii="Garamond" w:hAnsi="Garamond"/>
          <w:color w:val="000000" w:themeColor="text1"/>
        </w:rPr>
        <w:t>« </w:t>
      </w:r>
      <w:r w:rsidRPr="00A76C93">
        <w:rPr>
          <w:rFonts w:ascii="Garamond" w:hAnsi="Garamond"/>
          <w:i/>
          <w:iCs/>
          <w:color w:val="000000" w:themeColor="text1"/>
        </w:rPr>
        <w:t xml:space="preserve">Les émissions du secteur des bâtiments résidentiels et tertiaires de 2022 sont en forte baisse par rapport à celles de 2021 (-14,7 %, soit -11,1 Mt CO2e). Le baromètre avait permis de montrer que cette baisse a été particulièrement forte en avril-mai et en octobre-novembre. Cela </w:t>
      </w:r>
      <w:r w:rsidRPr="00A76C93">
        <w:rPr>
          <w:rFonts w:ascii="Garamond" w:hAnsi="Garamond"/>
          <w:i/>
          <w:iCs/>
          <w:color w:val="000000" w:themeColor="text1"/>
          <w:u w:val="single"/>
        </w:rPr>
        <w:t>s</w:t>
      </w:r>
      <w:r w:rsidR="00F86CA7">
        <w:rPr>
          <w:rFonts w:ascii="Garamond" w:hAnsi="Garamond"/>
          <w:i/>
          <w:iCs/>
          <w:color w:val="000000" w:themeColor="text1"/>
          <w:u w:val="single"/>
        </w:rPr>
        <w:t>’</w:t>
      </w:r>
      <w:r w:rsidRPr="00A76C93">
        <w:rPr>
          <w:rFonts w:ascii="Garamond" w:hAnsi="Garamond"/>
          <w:i/>
          <w:iCs/>
          <w:color w:val="000000" w:themeColor="text1"/>
          <w:u w:val="single"/>
        </w:rPr>
        <w:t>explique notamment par une forte réduction de la consommation d</w:t>
      </w:r>
      <w:r w:rsidR="00F86CA7">
        <w:rPr>
          <w:rFonts w:ascii="Garamond" w:hAnsi="Garamond"/>
          <w:i/>
          <w:iCs/>
          <w:color w:val="000000" w:themeColor="text1"/>
          <w:u w:val="single"/>
        </w:rPr>
        <w:t>’</w:t>
      </w:r>
      <w:r w:rsidRPr="00A76C93">
        <w:rPr>
          <w:rFonts w:ascii="Garamond" w:hAnsi="Garamond"/>
          <w:i/>
          <w:iCs/>
          <w:color w:val="000000" w:themeColor="text1"/>
          <w:u w:val="single"/>
        </w:rPr>
        <w:t xml:space="preserve">énergie fossile dans contexte de crise énergétique avec une hausse des prix du gaz et </w:t>
      </w:r>
      <w:r w:rsidRPr="00A76C93">
        <w:rPr>
          <w:rFonts w:ascii="Garamond" w:hAnsi="Garamond"/>
          <w:i/>
          <w:iCs/>
          <w:color w:val="000000" w:themeColor="text1"/>
          <w:u w:val="single"/>
        </w:rPr>
        <w:lastRenderedPageBreak/>
        <w:t>d</w:t>
      </w:r>
      <w:r w:rsidR="00F86CA7">
        <w:rPr>
          <w:rFonts w:ascii="Garamond" w:hAnsi="Garamond"/>
          <w:i/>
          <w:iCs/>
          <w:color w:val="000000" w:themeColor="text1"/>
          <w:u w:val="single"/>
        </w:rPr>
        <w:t>’</w:t>
      </w:r>
      <w:r w:rsidRPr="00A76C93">
        <w:rPr>
          <w:rFonts w:ascii="Garamond" w:hAnsi="Garamond"/>
          <w:i/>
          <w:iCs/>
          <w:color w:val="000000" w:themeColor="text1"/>
          <w:u w:val="single"/>
        </w:rPr>
        <w:t xml:space="preserve">autres produits pétroliers, des appels à la sobriété énergétique auprès des ménages et des entreprises, un recours accru au bois, et un hiver doux </w:t>
      </w:r>
      <w:r w:rsidRPr="00A76C93">
        <w:rPr>
          <w:rFonts w:ascii="Garamond" w:hAnsi="Garamond"/>
          <w:i/>
          <w:iCs/>
          <w:color w:val="000000" w:themeColor="text1"/>
        </w:rPr>
        <w:t xml:space="preserve">(indice de rigueur de 0,935 en 2022 contre 0,984 en 2021). </w:t>
      </w:r>
    </w:p>
    <w:p w14:paraId="7D612767" w14:textId="77777777" w:rsidR="008325AB" w:rsidRPr="00A76C93" w:rsidRDefault="008325AB" w:rsidP="008325AB">
      <w:pPr>
        <w:tabs>
          <w:tab w:val="left" w:pos="6440"/>
        </w:tabs>
        <w:spacing w:line="252" w:lineRule="auto"/>
        <w:ind w:left="567"/>
        <w:jc w:val="both"/>
        <w:rPr>
          <w:rFonts w:ascii="Garamond" w:hAnsi="Garamond"/>
          <w:color w:val="000000" w:themeColor="text1"/>
        </w:rPr>
      </w:pPr>
    </w:p>
    <w:p w14:paraId="6D2BAB3E" w14:textId="1F5C9EB7" w:rsidR="00A76C93" w:rsidRPr="00A76C93" w:rsidRDefault="00A76C93" w:rsidP="008325AB">
      <w:pPr>
        <w:tabs>
          <w:tab w:val="left" w:pos="6440"/>
        </w:tabs>
        <w:spacing w:line="252" w:lineRule="auto"/>
        <w:ind w:left="567"/>
        <w:jc w:val="both"/>
        <w:rPr>
          <w:rFonts w:ascii="Garamond" w:hAnsi="Garamond"/>
          <w:color w:val="000000" w:themeColor="text1"/>
        </w:rPr>
      </w:pPr>
      <w:r w:rsidRPr="00A76C93">
        <w:rPr>
          <w:rFonts w:ascii="Garamond" w:hAnsi="Garamond"/>
          <w:i/>
          <w:iCs/>
          <w:color w:val="000000" w:themeColor="text1"/>
        </w:rPr>
        <w:t xml:space="preserve">Ce </w:t>
      </w:r>
      <w:r w:rsidRPr="00A76C93">
        <w:rPr>
          <w:rFonts w:ascii="Garamond" w:hAnsi="Garamond"/>
          <w:i/>
          <w:iCs/>
          <w:color w:val="000000" w:themeColor="text1"/>
          <w:u w:val="single"/>
        </w:rPr>
        <w:t>secteur contribue le plus fortement à la baisse globale des émissions entre 2021 et 2022</w:t>
      </w:r>
      <w:r w:rsidRPr="00A76C93">
        <w:rPr>
          <w:rFonts w:ascii="Garamond" w:hAnsi="Garamond"/>
          <w:i/>
          <w:iCs/>
          <w:color w:val="000000" w:themeColor="text1"/>
        </w:rPr>
        <w:t>. Ce secteur atteint ainsi en 2022, avec 64,0 Mt CO2e, son niveau d</w:t>
      </w:r>
      <w:r w:rsidR="00F86CA7">
        <w:rPr>
          <w:rFonts w:ascii="Garamond" w:hAnsi="Garamond"/>
          <w:i/>
          <w:iCs/>
          <w:color w:val="000000" w:themeColor="text1"/>
        </w:rPr>
        <w:t>’</w:t>
      </w:r>
      <w:r w:rsidRPr="00A76C93">
        <w:rPr>
          <w:rFonts w:ascii="Garamond" w:hAnsi="Garamond"/>
          <w:i/>
          <w:iCs/>
          <w:color w:val="000000" w:themeColor="text1"/>
        </w:rPr>
        <w:t xml:space="preserve">émissions de GES le plus bas depuis la période observée (1990), et dans la continuité de la diminution des émissions observées depuis 2017, </w:t>
      </w:r>
      <w:r w:rsidRPr="00A76C93">
        <w:rPr>
          <w:rFonts w:ascii="Garamond" w:hAnsi="Garamond"/>
          <w:i/>
          <w:iCs/>
          <w:color w:val="000000" w:themeColor="text1"/>
          <w:u w:val="single"/>
        </w:rPr>
        <w:t>malgré la hausse temporaire observée en 2021</w:t>
      </w:r>
      <w:r w:rsidRPr="00A76C93">
        <w:rPr>
          <w:rFonts w:ascii="Garamond" w:hAnsi="Garamond"/>
          <w:color w:val="000000" w:themeColor="text1"/>
        </w:rPr>
        <w:t> »</w:t>
      </w:r>
      <w:r w:rsidR="008325AB">
        <w:rPr>
          <w:rFonts w:ascii="Garamond" w:hAnsi="Garamond"/>
          <w:color w:val="000000" w:themeColor="text1"/>
        </w:rPr>
        <w:t xml:space="preserve"> (soulignement ajouté)</w:t>
      </w:r>
      <w:r w:rsidR="008325AB">
        <w:rPr>
          <w:rStyle w:val="Appelnotedebasdep"/>
          <w:rFonts w:ascii="Garamond" w:hAnsi="Garamond"/>
          <w:color w:val="000000" w:themeColor="text1"/>
        </w:rPr>
        <w:footnoteReference w:id="2"/>
      </w:r>
      <w:r w:rsidR="008325AB">
        <w:rPr>
          <w:rFonts w:ascii="Garamond" w:hAnsi="Garamond"/>
          <w:color w:val="000000" w:themeColor="text1"/>
        </w:rPr>
        <w:t xml:space="preserve">. </w:t>
      </w:r>
    </w:p>
    <w:p w14:paraId="6C87CE68" w14:textId="77777777" w:rsidR="008325AB" w:rsidRDefault="008325AB" w:rsidP="00A76C93">
      <w:pPr>
        <w:tabs>
          <w:tab w:val="left" w:pos="6440"/>
        </w:tabs>
        <w:spacing w:line="252" w:lineRule="auto"/>
        <w:jc w:val="both"/>
        <w:rPr>
          <w:rFonts w:ascii="Garamond" w:hAnsi="Garamond"/>
          <w:color w:val="000000" w:themeColor="text1"/>
        </w:rPr>
      </w:pPr>
    </w:p>
    <w:p w14:paraId="3F554B15" w14:textId="05B4A4D7" w:rsidR="00A76C93"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Et l</w:t>
      </w:r>
      <w:r w:rsidR="00F86CA7">
        <w:rPr>
          <w:rFonts w:ascii="Garamond" w:hAnsi="Garamond"/>
          <w:color w:val="000000" w:themeColor="text1"/>
        </w:rPr>
        <w:t>’</w:t>
      </w:r>
      <w:r w:rsidR="00A76C93" w:rsidRPr="00A76C93">
        <w:rPr>
          <w:rFonts w:ascii="Garamond" w:hAnsi="Garamond"/>
          <w:color w:val="000000" w:themeColor="text1"/>
        </w:rPr>
        <w:t>examen des données comparatives d</w:t>
      </w:r>
      <w:r w:rsidR="00F86CA7">
        <w:rPr>
          <w:rFonts w:ascii="Garamond" w:hAnsi="Garamond"/>
          <w:color w:val="000000" w:themeColor="text1"/>
        </w:rPr>
        <w:t>’</w:t>
      </w:r>
      <w:r w:rsidR="00A76C93" w:rsidRPr="00A76C93">
        <w:rPr>
          <w:rFonts w:ascii="Garamond" w:hAnsi="Garamond"/>
          <w:color w:val="000000" w:themeColor="text1"/>
        </w:rPr>
        <w:t xml:space="preserve">émissions du secteur du bâtiment laisse effectivement entrevoir une tendance </w:t>
      </w:r>
      <w:r>
        <w:rPr>
          <w:rFonts w:ascii="Garamond" w:hAnsi="Garamond"/>
          <w:color w:val="000000" w:themeColor="text1"/>
        </w:rPr>
        <w:t>à la baisse</w:t>
      </w:r>
      <w:r w:rsidR="00A76C93" w:rsidRPr="00A76C93">
        <w:rPr>
          <w:rFonts w:ascii="Garamond" w:hAnsi="Garamond"/>
          <w:color w:val="000000" w:themeColor="text1"/>
        </w:rPr>
        <w:t xml:space="preserve"> depuis 2018, </w:t>
      </w:r>
      <w:r>
        <w:rPr>
          <w:rFonts w:ascii="Garamond" w:hAnsi="Garamond"/>
          <w:color w:val="000000" w:themeColor="text1"/>
        </w:rPr>
        <w:t>qui</w:t>
      </w:r>
      <w:r w:rsidR="00A76C93" w:rsidRPr="00A76C93">
        <w:rPr>
          <w:rFonts w:ascii="Garamond" w:hAnsi="Garamond"/>
          <w:color w:val="000000" w:themeColor="text1"/>
        </w:rPr>
        <w:t xml:space="preserve"> s</w:t>
      </w:r>
      <w:r w:rsidR="00F86CA7">
        <w:rPr>
          <w:rFonts w:ascii="Garamond" w:hAnsi="Garamond"/>
          <w:color w:val="000000" w:themeColor="text1"/>
        </w:rPr>
        <w:t>’</w:t>
      </w:r>
      <w:r w:rsidR="00A76C93" w:rsidRPr="00A76C93">
        <w:rPr>
          <w:rFonts w:ascii="Garamond" w:hAnsi="Garamond"/>
          <w:color w:val="000000" w:themeColor="text1"/>
        </w:rPr>
        <w:t>est fortement accélérée en 2022 pour atteindre 64 MtCO</w:t>
      </w:r>
      <w:r w:rsidR="00A76C93" w:rsidRPr="00A76C93">
        <w:rPr>
          <w:rFonts w:ascii="Garamond" w:hAnsi="Garamond"/>
          <w:color w:val="000000" w:themeColor="text1"/>
          <w:vertAlign w:val="subscript"/>
        </w:rPr>
        <w:t>2</w:t>
      </w:r>
      <w:r w:rsidR="00A76C93" w:rsidRPr="00A76C93">
        <w:rPr>
          <w:rFonts w:ascii="Garamond" w:hAnsi="Garamond"/>
          <w:color w:val="000000" w:themeColor="text1"/>
        </w:rPr>
        <w:t xml:space="preserve"> eq</w:t>
      </w:r>
      <w:r>
        <w:rPr>
          <w:rFonts w:ascii="Garamond" w:hAnsi="Garamond"/>
          <w:color w:val="000000" w:themeColor="text1"/>
        </w:rPr>
        <w:t xml:space="preserve"> : </w:t>
      </w:r>
    </w:p>
    <w:p w14:paraId="459DB83B" w14:textId="77777777" w:rsidR="008325AB" w:rsidRPr="00A76C93" w:rsidRDefault="008325AB" w:rsidP="00A76C93">
      <w:pPr>
        <w:tabs>
          <w:tab w:val="left" w:pos="6440"/>
        </w:tabs>
        <w:spacing w:line="252" w:lineRule="auto"/>
        <w:jc w:val="both"/>
        <w:rPr>
          <w:rFonts w:ascii="Garamond" w:hAnsi="Garamond"/>
          <w:color w:val="000000" w:themeColor="text1"/>
        </w:rPr>
      </w:pPr>
    </w:p>
    <w:tbl>
      <w:tblPr>
        <w:tblStyle w:val="Grilledutableau"/>
        <w:tblW w:w="9805" w:type="dxa"/>
        <w:tblInd w:w="-431" w:type="dxa"/>
        <w:tblLook w:val="04A0" w:firstRow="1" w:lastRow="0" w:firstColumn="1" w:lastColumn="0" w:noHBand="0" w:noVBand="1"/>
      </w:tblPr>
      <w:tblGrid>
        <w:gridCol w:w="729"/>
        <w:gridCol w:w="880"/>
        <w:gridCol w:w="985"/>
        <w:gridCol w:w="722"/>
        <w:gridCol w:w="722"/>
        <w:gridCol w:w="722"/>
        <w:gridCol w:w="722"/>
        <w:gridCol w:w="722"/>
        <w:gridCol w:w="722"/>
        <w:gridCol w:w="722"/>
        <w:gridCol w:w="719"/>
        <w:gridCol w:w="719"/>
        <w:gridCol w:w="719"/>
      </w:tblGrid>
      <w:tr w:rsidR="00A76C93" w:rsidRPr="00A76C93" w14:paraId="5939A9AF" w14:textId="77777777" w:rsidTr="008325AB">
        <w:trPr>
          <w:trHeight w:val="238"/>
        </w:trPr>
        <w:tc>
          <w:tcPr>
            <w:tcW w:w="729" w:type="dxa"/>
            <w:noWrap/>
            <w:vAlign w:val="center"/>
          </w:tcPr>
          <w:p w14:paraId="462E2B49"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2010</w:t>
            </w:r>
          </w:p>
        </w:tc>
        <w:tc>
          <w:tcPr>
            <w:tcW w:w="880" w:type="dxa"/>
            <w:noWrap/>
            <w:vAlign w:val="center"/>
          </w:tcPr>
          <w:p w14:paraId="743F745F"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2011</w:t>
            </w:r>
          </w:p>
        </w:tc>
        <w:tc>
          <w:tcPr>
            <w:tcW w:w="985" w:type="dxa"/>
            <w:noWrap/>
            <w:vAlign w:val="center"/>
          </w:tcPr>
          <w:p w14:paraId="41604D15"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2012</w:t>
            </w:r>
          </w:p>
        </w:tc>
        <w:tc>
          <w:tcPr>
            <w:tcW w:w="722" w:type="dxa"/>
            <w:noWrap/>
            <w:vAlign w:val="center"/>
          </w:tcPr>
          <w:p w14:paraId="267A001D"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2013</w:t>
            </w:r>
          </w:p>
        </w:tc>
        <w:tc>
          <w:tcPr>
            <w:tcW w:w="722" w:type="dxa"/>
            <w:noWrap/>
            <w:vAlign w:val="center"/>
          </w:tcPr>
          <w:p w14:paraId="31631813"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2014</w:t>
            </w:r>
          </w:p>
        </w:tc>
        <w:tc>
          <w:tcPr>
            <w:tcW w:w="722" w:type="dxa"/>
            <w:noWrap/>
            <w:vAlign w:val="center"/>
          </w:tcPr>
          <w:p w14:paraId="419F6BF1"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2015</w:t>
            </w:r>
          </w:p>
        </w:tc>
        <w:tc>
          <w:tcPr>
            <w:tcW w:w="722" w:type="dxa"/>
            <w:noWrap/>
            <w:vAlign w:val="center"/>
          </w:tcPr>
          <w:p w14:paraId="1BFCCAA1"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2016</w:t>
            </w:r>
          </w:p>
        </w:tc>
        <w:tc>
          <w:tcPr>
            <w:tcW w:w="722" w:type="dxa"/>
            <w:noWrap/>
            <w:vAlign w:val="center"/>
          </w:tcPr>
          <w:p w14:paraId="4BF6404E"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2017</w:t>
            </w:r>
          </w:p>
        </w:tc>
        <w:tc>
          <w:tcPr>
            <w:tcW w:w="722" w:type="dxa"/>
            <w:noWrap/>
            <w:vAlign w:val="center"/>
          </w:tcPr>
          <w:p w14:paraId="410DC48E"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2018</w:t>
            </w:r>
          </w:p>
        </w:tc>
        <w:tc>
          <w:tcPr>
            <w:tcW w:w="722" w:type="dxa"/>
            <w:noWrap/>
            <w:vAlign w:val="center"/>
          </w:tcPr>
          <w:p w14:paraId="483A5BB8"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2019</w:t>
            </w:r>
          </w:p>
        </w:tc>
        <w:tc>
          <w:tcPr>
            <w:tcW w:w="719" w:type="dxa"/>
            <w:noWrap/>
            <w:vAlign w:val="center"/>
          </w:tcPr>
          <w:p w14:paraId="01DD7D69"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2020</w:t>
            </w:r>
          </w:p>
        </w:tc>
        <w:tc>
          <w:tcPr>
            <w:tcW w:w="719" w:type="dxa"/>
            <w:noWrap/>
            <w:vAlign w:val="center"/>
          </w:tcPr>
          <w:p w14:paraId="2920D746"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2021</w:t>
            </w:r>
          </w:p>
        </w:tc>
        <w:tc>
          <w:tcPr>
            <w:tcW w:w="719" w:type="dxa"/>
            <w:noWrap/>
            <w:vAlign w:val="center"/>
          </w:tcPr>
          <w:p w14:paraId="6BEF5FC3"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2022</w:t>
            </w:r>
          </w:p>
        </w:tc>
      </w:tr>
      <w:tr w:rsidR="00A76C93" w:rsidRPr="00A76C93" w14:paraId="06E3AB9F" w14:textId="77777777" w:rsidTr="008325AB">
        <w:trPr>
          <w:trHeight w:val="238"/>
        </w:trPr>
        <w:tc>
          <w:tcPr>
            <w:tcW w:w="729" w:type="dxa"/>
            <w:noWrap/>
            <w:vAlign w:val="center"/>
            <w:hideMark/>
          </w:tcPr>
          <w:p w14:paraId="142F8381" w14:textId="4EB18F7E"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104</w:t>
            </w:r>
          </w:p>
        </w:tc>
        <w:tc>
          <w:tcPr>
            <w:tcW w:w="880" w:type="dxa"/>
            <w:noWrap/>
            <w:vAlign w:val="center"/>
            <w:hideMark/>
          </w:tcPr>
          <w:p w14:paraId="7DD4B909"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89</w:t>
            </w:r>
          </w:p>
        </w:tc>
        <w:tc>
          <w:tcPr>
            <w:tcW w:w="985" w:type="dxa"/>
            <w:noWrap/>
            <w:vAlign w:val="center"/>
            <w:hideMark/>
          </w:tcPr>
          <w:p w14:paraId="64CB91EB"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96</w:t>
            </w:r>
          </w:p>
        </w:tc>
        <w:tc>
          <w:tcPr>
            <w:tcW w:w="722" w:type="dxa"/>
            <w:noWrap/>
            <w:vAlign w:val="center"/>
            <w:hideMark/>
          </w:tcPr>
          <w:p w14:paraId="70A9C3C1"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98</w:t>
            </w:r>
          </w:p>
        </w:tc>
        <w:tc>
          <w:tcPr>
            <w:tcW w:w="722" w:type="dxa"/>
            <w:noWrap/>
            <w:vAlign w:val="center"/>
            <w:hideMark/>
          </w:tcPr>
          <w:p w14:paraId="3BC7A5B8"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82</w:t>
            </w:r>
          </w:p>
        </w:tc>
        <w:tc>
          <w:tcPr>
            <w:tcW w:w="722" w:type="dxa"/>
            <w:noWrap/>
            <w:vAlign w:val="center"/>
            <w:hideMark/>
          </w:tcPr>
          <w:p w14:paraId="752D5F2E"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85</w:t>
            </w:r>
          </w:p>
        </w:tc>
        <w:tc>
          <w:tcPr>
            <w:tcW w:w="722" w:type="dxa"/>
            <w:noWrap/>
            <w:vAlign w:val="center"/>
            <w:hideMark/>
          </w:tcPr>
          <w:p w14:paraId="68A951A8"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85</w:t>
            </w:r>
          </w:p>
        </w:tc>
        <w:tc>
          <w:tcPr>
            <w:tcW w:w="722" w:type="dxa"/>
            <w:noWrap/>
            <w:vAlign w:val="center"/>
            <w:hideMark/>
          </w:tcPr>
          <w:p w14:paraId="42AE943D"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84</w:t>
            </w:r>
          </w:p>
        </w:tc>
        <w:tc>
          <w:tcPr>
            <w:tcW w:w="722" w:type="dxa"/>
            <w:noWrap/>
            <w:vAlign w:val="center"/>
            <w:hideMark/>
          </w:tcPr>
          <w:p w14:paraId="3E79CBD1"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79</w:t>
            </w:r>
          </w:p>
        </w:tc>
        <w:tc>
          <w:tcPr>
            <w:tcW w:w="722" w:type="dxa"/>
            <w:noWrap/>
            <w:vAlign w:val="center"/>
            <w:hideMark/>
          </w:tcPr>
          <w:p w14:paraId="618CDABA"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76</w:t>
            </w:r>
          </w:p>
        </w:tc>
        <w:tc>
          <w:tcPr>
            <w:tcW w:w="719" w:type="dxa"/>
            <w:noWrap/>
            <w:vAlign w:val="center"/>
            <w:hideMark/>
          </w:tcPr>
          <w:p w14:paraId="73B00E8C"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71</w:t>
            </w:r>
          </w:p>
        </w:tc>
        <w:tc>
          <w:tcPr>
            <w:tcW w:w="719" w:type="dxa"/>
            <w:noWrap/>
            <w:vAlign w:val="center"/>
            <w:hideMark/>
          </w:tcPr>
          <w:p w14:paraId="442B102A"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75</w:t>
            </w:r>
          </w:p>
        </w:tc>
        <w:tc>
          <w:tcPr>
            <w:tcW w:w="719" w:type="dxa"/>
            <w:noWrap/>
            <w:vAlign w:val="center"/>
            <w:hideMark/>
          </w:tcPr>
          <w:p w14:paraId="4317E61C"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64,0</w:t>
            </w:r>
          </w:p>
        </w:tc>
      </w:tr>
      <w:tr w:rsidR="00A76C93" w:rsidRPr="00A76C93" w14:paraId="406A463B" w14:textId="77777777" w:rsidTr="008325AB">
        <w:trPr>
          <w:trHeight w:val="238"/>
        </w:trPr>
        <w:tc>
          <w:tcPr>
            <w:tcW w:w="729" w:type="dxa"/>
            <w:noWrap/>
            <w:vAlign w:val="center"/>
          </w:tcPr>
          <w:p w14:paraId="673BB85E"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w:t>
            </w:r>
          </w:p>
        </w:tc>
        <w:tc>
          <w:tcPr>
            <w:tcW w:w="880" w:type="dxa"/>
            <w:noWrap/>
            <w:vAlign w:val="center"/>
          </w:tcPr>
          <w:p w14:paraId="791CE488"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-15</w:t>
            </w:r>
          </w:p>
        </w:tc>
        <w:tc>
          <w:tcPr>
            <w:tcW w:w="985" w:type="dxa"/>
            <w:noWrap/>
            <w:vAlign w:val="center"/>
          </w:tcPr>
          <w:p w14:paraId="6478354F"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+6</w:t>
            </w:r>
          </w:p>
        </w:tc>
        <w:tc>
          <w:tcPr>
            <w:tcW w:w="722" w:type="dxa"/>
            <w:noWrap/>
            <w:vAlign w:val="center"/>
          </w:tcPr>
          <w:p w14:paraId="72A1F3EF"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w:t>
            </w:r>
          </w:p>
        </w:tc>
        <w:tc>
          <w:tcPr>
            <w:tcW w:w="722" w:type="dxa"/>
            <w:noWrap/>
            <w:vAlign w:val="center"/>
          </w:tcPr>
          <w:p w14:paraId="4A1808AA"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-15</w:t>
            </w:r>
          </w:p>
        </w:tc>
        <w:tc>
          <w:tcPr>
            <w:tcW w:w="722" w:type="dxa"/>
            <w:noWrap/>
            <w:vAlign w:val="center"/>
          </w:tcPr>
          <w:p w14:paraId="171150E1"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+3</w:t>
            </w:r>
          </w:p>
        </w:tc>
        <w:tc>
          <w:tcPr>
            <w:tcW w:w="722" w:type="dxa"/>
            <w:noWrap/>
            <w:vAlign w:val="center"/>
          </w:tcPr>
          <w:p w14:paraId="0E588987"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+0</w:t>
            </w:r>
          </w:p>
        </w:tc>
        <w:tc>
          <w:tcPr>
            <w:tcW w:w="722" w:type="dxa"/>
            <w:noWrap/>
            <w:vAlign w:val="center"/>
          </w:tcPr>
          <w:p w14:paraId="75A0C5F3"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-1</w:t>
            </w:r>
          </w:p>
        </w:tc>
        <w:tc>
          <w:tcPr>
            <w:tcW w:w="722" w:type="dxa"/>
            <w:noWrap/>
            <w:vAlign w:val="center"/>
          </w:tcPr>
          <w:p w14:paraId="33D6E72D"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-8</w:t>
            </w:r>
          </w:p>
        </w:tc>
        <w:tc>
          <w:tcPr>
            <w:tcW w:w="722" w:type="dxa"/>
            <w:noWrap/>
            <w:vAlign w:val="center"/>
          </w:tcPr>
          <w:p w14:paraId="566F7267"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-2</w:t>
            </w:r>
          </w:p>
        </w:tc>
        <w:tc>
          <w:tcPr>
            <w:tcW w:w="719" w:type="dxa"/>
            <w:noWrap/>
            <w:vAlign w:val="center"/>
          </w:tcPr>
          <w:p w14:paraId="0C84B715"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-5</w:t>
            </w:r>
          </w:p>
        </w:tc>
        <w:tc>
          <w:tcPr>
            <w:tcW w:w="719" w:type="dxa"/>
            <w:noWrap/>
            <w:vAlign w:val="center"/>
          </w:tcPr>
          <w:p w14:paraId="5A70560D"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+5</w:t>
            </w:r>
          </w:p>
        </w:tc>
        <w:tc>
          <w:tcPr>
            <w:tcW w:w="719" w:type="dxa"/>
            <w:noWrap/>
            <w:vAlign w:val="center"/>
          </w:tcPr>
          <w:p w14:paraId="22A21E1F" w14:textId="77777777" w:rsidR="00A76C93" w:rsidRPr="00A76C93" w:rsidRDefault="00A76C93" w:rsidP="008325AB">
            <w:pPr>
              <w:tabs>
                <w:tab w:val="left" w:pos="6440"/>
              </w:tabs>
              <w:spacing w:line="252" w:lineRule="auto"/>
              <w:jc w:val="center"/>
              <w:rPr>
                <w:rFonts w:ascii="Garamond" w:eastAsia="Times New Roman" w:hAnsi="Garamond" w:cs="Times New Roman"/>
                <w:color w:val="000000" w:themeColor="text1"/>
                <w:kern w:val="0"/>
                <w:lang w:eastAsia="fr-FR"/>
                <w14:ligatures w14:val="none"/>
              </w:rPr>
            </w:pPr>
            <w:r w:rsidRPr="00A76C93">
              <w:rPr>
                <w:rFonts w:ascii="Garamond" w:eastAsia="Times New Roman" w:hAnsi="Garamond" w:cs="Times New Roman"/>
                <w:color w:val="000000" w:themeColor="text1"/>
                <w:kern w:val="0"/>
                <w:lang w:eastAsia="fr-FR"/>
                <w14:ligatures w14:val="none"/>
              </w:rPr>
              <w:t>-11</w:t>
            </w:r>
          </w:p>
        </w:tc>
      </w:tr>
    </w:tbl>
    <w:p w14:paraId="6D15B555" w14:textId="13B68ADF" w:rsidR="00A76C93" w:rsidRPr="00A76C93" w:rsidRDefault="00A76C93" w:rsidP="008325AB">
      <w:pPr>
        <w:tabs>
          <w:tab w:val="left" w:pos="6440"/>
        </w:tabs>
        <w:spacing w:line="252" w:lineRule="auto"/>
        <w:jc w:val="center"/>
        <w:rPr>
          <w:rFonts w:ascii="Garamond" w:hAnsi="Garamond"/>
          <w:i/>
          <w:iCs/>
          <w:color w:val="000000" w:themeColor="text1"/>
          <w:sz w:val="20"/>
          <w:szCs w:val="20"/>
        </w:rPr>
      </w:pPr>
      <w:r w:rsidRPr="00A76C93">
        <w:rPr>
          <w:rFonts w:ascii="Garamond" w:hAnsi="Garamond"/>
          <w:i/>
          <w:iCs/>
          <w:color w:val="000000" w:themeColor="text1"/>
          <w:sz w:val="20"/>
          <w:szCs w:val="20"/>
        </w:rPr>
        <w:t>Source : Rapport Secten, juin 2023. Nb : les données exprimées dans la deuxième ligne le sont</w:t>
      </w:r>
      <w:r w:rsidR="008325AB">
        <w:rPr>
          <w:rFonts w:ascii="Garamond" w:hAnsi="Garamond"/>
          <w:i/>
          <w:iCs/>
          <w:color w:val="000000" w:themeColor="text1"/>
          <w:sz w:val="20"/>
          <w:szCs w:val="20"/>
        </w:rPr>
        <w:t xml:space="preserve"> en</w:t>
      </w:r>
      <w:r w:rsidRPr="00A76C93">
        <w:rPr>
          <w:rFonts w:ascii="Garamond" w:hAnsi="Garamond"/>
          <w:i/>
          <w:iCs/>
          <w:color w:val="000000" w:themeColor="text1"/>
          <w:sz w:val="20"/>
          <w:szCs w:val="20"/>
        </w:rPr>
        <w:t xml:space="preserve"> MTCO</w:t>
      </w:r>
      <w:r w:rsidRPr="00A76C93">
        <w:rPr>
          <w:rFonts w:ascii="Garamond" w:hAnsi="Garamond"/>
          <w:i/>
          <w:iCs/>
          <w:color w:val="000000" w:themeColor="text1"/>
          <w:sz w:val="20"/>
          <w:szCs w:val="20"/>
          <w:vertAlign w:val="subscript"/>
        </w:rPr>
        <w:t>2</w:t>
      </w:r>
      <w:r w:rsidRPr="00A76C93">
        <w:rPr>
          <w:rFonts w:ascii="Garamond" w:hAnsi="Garamond"/>
          <w:i/>
          <w:iCs/>
          <w:color w:val="000000" w:themeColor="text1"/>
          <w:sz w:val="20"/>
          <w:szCs w:val="20"/>
        </w:rPr>
        <w:t xml:space="preserve"> eq.</w:t>
      </w:r>
    </w:p>
    <w:p w14:paraId="0D3B726E" w14:textId="7B9E50D0" w:rsidR="008325AB" w:rsidRDefault="008325AB">
      <w:pPr>
        <w:rPr>
          <w:rFonts w:ascii="Garamond" w:hAnsi="Garamond"/>
          <w:color w:val="000000" w:themeColor="text1"/>
        </w:rPr>
      </w:pPr>
    </w:p>
    <w:p w14:paraId="2684DC17" w14:textId="77777777" w:rsidR="00A07440" w:rsidRDefault="00A07440">
      <w:pPr>
        <w:rPr>
          <w:rFonts w:ascii="Garamond" w:hAnsi="Garamond"/>
          <w:color w:val="000000" w:themeColor="text1"/>
        </w:rPr>
      </w:pPr>
    </w:p>
    <w:p w14:paraId="7B43B2E5" w14:textId="244A9C1A" w:rsidR="00A76C93" w:rsidRPr="00A76C93" w:rsidRDefault="008325AB" w:rsidP="00A76C93">
      <w:pPr>
        <w:tabs>
          <w:tab w:val="left" w:pos="6440"/>
        </w:tabs>
        <w:spacing w:line="252" w:lineRule="auto"/>
        <w:jc w:val="both"/>
        <w:rPr>
          <w:rFonts w:ascii="Garamond" w:hAnsi="Garamond"/>
          <w:color w:val="000000" w:themeColor="text1"/>
        </w:rPr>
      </w:pPr>
      <w:r>
        <w:rPr>
          <w:rFonts w:ascii="Garamond" w:hAnsi="Garamond"/>
          <w:color w:val="000000" w:themeColor="text1"/>
        </w:rPr>
        <w:t>Pour autant,</w:t>
      </w:r>
      <w:r w:rsidR="00A76C93" w:rsidRPr="00A76C93">
        <w:rPr>
          <w:rFonts w:ascii="Garamond" w:hAnsi="Garamond"/>
          <w:color w:val="000000" w:themeColor="text1"/>
        </w:rPr>
        <w:t xml:space="preserve"> un examen plus détaillé des données révèle le caractère fortement asymétrique des baisses constatées</w:t>
      </w:r>
      <w:r>
        <w:rPr>
          <w:rFonts w:ascii="Garamond" w:hAnsi="Garamond"/>
          <w:color w:val="000000" w:themeColor="text1"/>
        </w:rPr>
        <w:t> : l</w:t>
      </w:r>
      <w:r w:rsidR="00F86CA7">
        <w:rPr>
          <w:rFonts w:ascii="Garamond" w:hAnsi="Garamond"/>
          <w:color w:val="000000" w:themeColor="text1"/>
        </w:rPr>
        <w:t>’</w:t>
      </w:r>
      <w:r w:rsidR="00A76C93" w:rsidRPr="00A76C93">
        <w:rPr>
          <w:rFonts w:ascii="Garamond" w:hAnsi="Garamond"/>
          <w:color w:val="000000" w:themeColor="text1"/>
        </w:rPr>
        <w:t>effort de réduction se concentre</w:t>
      </w:r>
      <w:r>
        <w:rPr>
          <w:rFonts w:ascii="Garamond" w:hAnsi="Garamond"/>
          <w:color w:val="000000" w:themeColor="text1"/>
        </w:rPr>
        <w:t>,</w:t>
      </w:r>
      <w:r w:rsidR="00A76C93" w:rsidRPr="00A76C93">
        <w:rPr>
          <w:rFonts w:ascii="Garamond" w:hAnsi="Garamond"/>
          <w:color w:val="000000" w:themeColor="text1"/>
        </w:rPr>
        <w:t xml:space="preserve"> à titre principal, sur l</w:t>
      </w:r>
      <w:r w:rsidR="00F86CA7">
        <w:rPr>
          <w:rFonts w:ascii="Garamond" w:hAnsi="Garamond"/>
          <w:color w:val="000000" w:themeColor="text1"/>
        </w:rPr>
        <w:t>’</w:t>
      </w:r>
      <w:r w:rsidR="00A76C93" w:rsidRPr="00A76C93">
        <w:rPr>
          <w:rFonts w:ascii="Garamond" w:hAnsi="Garamond"/>
          <w:color w:val="000000" w:themeColor="text1"/>
        </w:rPr>
        <w:t>utilisation du chauffage, l</w:t>
      </w:r>
      <w:r w:rsidR="00F86CA7">
        <w:rPr>
          <w:rFonts w:ascii="Garamond" w:hAnsi="Garamond"/>
          <w:color w:val="000000" w:themeColor="text1"/>
        </w:rPr>
        <w:t>’</w:t>
      </w:r>
      <w:r w:rsidR="00A76C93" w:rsidRPr="00A76C93">
        <w:rPr>
          <w:rFonts w:ascii="Garamond" w:hAnsi="Garamond"/>
          <w:color w:val="000000" w:themeColor="text1"/>
        </w:rPr>
        <w:t xml:space="preserve">eau chaude sanitaire et la cuisson domestique, et concerne davantage le bâtiment résidentiel que le tertiaire. </w:t>
      </w:r>
    </w:p>
    <w:p w14:paraId="6F32F8B2" w14:textId="77777777" w:rsidR="00A76C93" w:rsidRPr="00A76C93" w:rsidRDefault="00A76C93" w:rsidP="00A76C93">
      <w:pPr>
        <w:tabs>
          <w:tab w:val="left" w:pos="6440"/>
        </w:tabs>
        <w:spacing w:line="252" w:lineRule="auto"/>
        <w:jc w:val="both"/>
        <w:rPr>
          <w:rFonts w:ascii="Garamond" w:hAnsi="Garamond"/>
          <w:color w:val="000000" w:themeColor="text1"/>
        </w:rPr>
      </w:pPr>
    </w:p>
    <w:p w14:paraId="117BA819" w14:textId="5EFADE3B"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Ainsi, pour ce poste d</w:t>
      </w:r>
      <w:r w:rsidR="00F86CA7">
        <w:rPr>
          <w:rFonts w:ascii="Garamond" w:hAnsi="Garamond"/>
          <w:color w:val="000000" w:themeColor="text1"/>
        </w:rPr>
        <w:t>’</w:t>
      </w:r>
      <w:r w:rsidRPr="00A76C93">
        <w:rPr>
          <w:rFonts w:ascii="Garamond" w:hAnsi="Garamond"/>
          <w:color w:val="000000" w:themeColor="text1"/>
        </w:rPr>
        <w:t>émission</w:t>
      </w:r>
      <w:r w:rsidR="008325AB">
        <w:rPr>
          <w:rFonts w:ascii="Garamond" w:hAnsi="Garamond"/>
          <w:color w:val="000000" w:themeColor="text1"/>
        </w:rPr>
        <w:t>s</w:t>
      </w:r>
      <w:r w:rsidRPr="00A76C93">
        <w:rPr>
          <w:rFonts w:ascii="Garamond" w:hAnsi="Garamond"/>
          <w:color w:val="000000" w:themeColor="text1"/>
        </w:rPr>
        <w:t>, l</w:t>
      </w:r>
      <w:r w:rsidR="008325AB">
        <w:rPr>
          <w:rFonts w:ascii="Garamond" w:hAnsi="Garamond"/>
          <w:color w:val="000000" w:themeColor="text1"/>
        </w:rPr>
        <w:t>es baisses constatées en 2022 sont d</w:t>
      </w:r>
      <w:r w:rsidRPr="00A76C93">
        <w:rPr>
          <w:rFonts w:ascii="Garamond" w:hAnsi="Garamond"/>
          <w:color w:val="000000" w:themeColor="text1"/>
        </w:rPr>
        <w:t xml:space="preserve">e </w:t>
      </w:r>
      <w:r w:rsidR="008325AB">
        <w:rPr>
          <w:rFonts w:ascii="Garamond" w:hAnsi="Garamond"/>
          <w:color w:val="000000" w:themeColor="text1"/>
        </w:rPr>
        <w:t>-</w:t>
      </w:r>
      <w:r w:rsidRPr="00A76C93">
        <w:rPr>
          <w:rFonts w:ascii="Garamond" w:hAnsi="Garamond"/>
          <w:color w:val="000000" w:themeColor="text1"/>
        </w:rPr>
        <w:t>7,2</w:t>
      </w:r>
      <w:r w:rsidR="008325AB">
        <w:rPr>
          <w:rFonts w:ascii="Garamond" w:hAnsi="Garamond"/>
          <w:color w:val="000000" w:themeColor="text1"/>
        </w:rPr>
        <w:t> </w:t>
      </w:r>
      <w:r w:rsidRPr="00A76C93">
        <w:rPr>
          <w:rFonts w:ascii="Garamond" w:hAnsi="Garamond"/>
          <w:color w:val="000000" w:themeColor="text1"/>
        </w:rPr>
        <w:t>MtCO</w:t>
      </w:r>
      <w:r w:rsidRPr="00A76C93">
        <w:rPr>
          <w:rFonts w:ascii="Garamond" w:hAnsi="Garamond"/>
          <w:color w:val="000000" w:themeColor="text1"/>
          <w:vertAlign w:val="subscript"/>
        </w:rPr>
        <w:t>2</w:t>
      </w:r>
      <w:r w:rsidR="008325AB">
        <w:rPr>
          <w:rFonts w:ascii="Garamond" w:hAnsi="Garamond"/>
          <w:color w:val="000000" w:themeColor="text1"/>
        </w:rPr>
        <w:t>eq</w:t>
      </w:r>
      <w:r w:rsidRPr="00A76C93">
        <w:rPr>
          <w:rFonts w:ascii="Garamond" w:hAnsi="Garamond"/>
          <w:color w:val="000000" w:themeColor="text1"/>
        </w:rPr>
        <w:t xml:space="preserve"> pour les bâtiments résidentiels</w:t>
      </w:r>
      <w:r w:rsidR="008325AB">
        <w:rPr>
          <w:rFonts w:ascii="Garamond" w:hAnsi="Garamond"/>
          <w:color w:val="000000" w:themeColor="text1"/>
        </w:rPr>
        <w:t>,</w:t>
      </w:r>
      <w:r w:rsidRPr="00A76C93">
        <w:rPr>
          <w:rFonts w:ascii="Garamond" w:hAnsi="Garamond"/>
          <w:color w:val="000000" w:themeColor="text1"/>
        </w:rPr>
        <w:t xml:space="preserve"> et de -3,4 </w:t>
      </w:r>
      <w:r w:rsidR="008325AB" w:rsidRPr="00A76C93">
        <w:rPr>
          <w:rFonts w:ascii="Garamond" w:hAnsi="Garamond"/>
          <w:color w:val="000000" w:themeColor="text1"/>
        </w:rPr>
        <w:t>MtCO</w:t>
      </w:r>
      <w:r w:rsidR="008325AB" w:rsidRPr="00A76C93">
        <w:rPr>
          <w:rFonts w:ascii="Garamond" w:hAnsi="Garamond"/>
          <w:color w:val="000000" w:themeColor="text1"/>
          <w:vertAlign w:val="subscript"/>
        </w:rPr>
        <w:t>2</w:t>
      </w:r>
      <w:r w:rsidR="008325AB">
        <w:rPr>
          <w:rFonts w:ascii="Garamond" w:hAnsi="Garamond"/>
          <w:color w:val="000000" w:themeColor="text1"/>
        </w:rPr>
        <w:t>eq</w:t>
      </w:r>
      <w:r w:rsidR="008325AB" w:rsidRPr="00A76C93">
        <w:rPr>
          <w:rFonts w:ascii="Garamond" w:hAnsi="Garamond"/>
          <w:color w:val="000000" w:themeColor="text1"/>
        </w:rPr>
        <w:t xml:space="preserve"> </w:t>
      </w:r>
      <w:r w:rsidRPr="00A76C93">
        <w:rPr>
          <w:rFonts w:ascii="Garamond" w:hAnsi="Garamond"/>
          <w:color w:val="000000" w:themeColor="text1"/>
        </w:rPr>
        <w:t xml:space="preserve">pour le secteur tertiaire. </w:t>
      </w:r>
    </w:p>
    <w:p w14:paraId="6BC7650C" w14:textId="6716C48E" w:rsidR="008325AB" w:rsidRDefault="008325AB" w:rsidP="002A591D">
      <w:pPr>
        <w:tabs>
          <w:tab w:val="left" w:pos="6440"/>
        </w:tabs>
        <w:spacing w:line="252" w:lineRule="auto"/>
        <w:jc w:val="both"/>
        <w:rPr>
          <w:rFonts w:ascii="Garamond" w:hAnsi="Garamond"/>
          <w:i/>
          <w:iCs/>
          <w:color w:val="000000" w:themeColor="text1"/>
          <w:sz w:val="20"/>
          <w:szCs w:val="20"/>
        </w:rPr>
      </w:pPr>
      <w:r w:rsidRPr="00A76C93">
        <w:rPr>
          <w:rFonts w:ascii="Garamond" w:hAnsi="Garamond"/>
          <w:noProof/>
          <w:color w:val="000000" w:themeColor="text1"/>
        </w:rPr>
        <w:drawing>
          <wp:anchor distT="0" distB="0" distL="114300" distR="114300" simplePos="0" relativeHeight="251659264" behindDoc="0" locked="0" layoutInCell="1" allowOverlap="1" wp14:anchorId="09013AFA" wp14:editId="03BDF119">
            <wp:simplePos x="0" y="0"/>
            <wp:positionH relativeFrom="column">
              <wp:posOffset>-538055</wp:posOffset>
            </wp:positionH>
            <wp:positionV relativeFrom="paragraph">
              <wp:posOffset>180975</wp:posOffset>
            </wp:positionV>
            <wp:extent cx="6920895" cy="2100105"/>
            <wp:effectExtent l="12700" t="12700" r="13335" b="8255"/>
            <wp:wrapTopAndBottom/>
            <wp:docPr id="1957354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35440" name=""/>
                    <pic:cNvPicPr/>
                  </pic:nvPicPr>
                  <pic:blipFill>
                    <a:blip r:embed="rId8"/>
                    <a:stretch>
                      <a:fillRect/>
                    </a:stretch>
                  </pic:blipFill>
                  <pic:spPr>
                    <a:xfrm>
                      <a:off x="0" y="0"/>
                      <a:ext cx="6920895" cy="21001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10BC532" w14:textId="77777777" w:rsidR="002A591D" w:rsidRPr="002A591D" w:rsidRDefault="002A591D" w:rsidP="008325AB">
      <w:pPr>
        <w:tabs>
          <w:tab w:val="left" w:pos="6440"/>
        </w:tabs>
        <w:spacing w:line="252" w:lineRule="auto"/>
        <w:jc w:val="center"/>
        <w:rPr>
          <w:rFonts w:ascii="Garamond" w:hAnsi="Garamond"/>
          <w:i/>
          <w:iCs/>
          <w:color w:val="000000" w:themeColor="text1"/>
          <w:sz w:val="8"/>
          <w:szCs w:val="8"/>
        </w:rPr>
      </w:pPr>
    </w:p>
    <w:p w14:paraId="3E600F09" w14:textId="4DECD09C" w:rsidR="00A76C93" w:rsidRPr="00A76C93" w:rsidRDefault="008325AB" w:rsidP="008325AB">
      <w:pPr>
        <w:tabs>
          <w:tab w:val="left" w:pos="6440"/>
        </w:tabs>
        <w:spacing w:line="252" w:lineRule="auto"/>
        <w:jc w:val="center"/>
        <w:rPr>
          <w:rFonts w:ascii="Garamond" w:hAnsi="Garamond"/>
          <w:color w:val="000000" w:themeColor="text1"/>
        </w:rPr>
      </w:pPr>
      <w:r w:rsidRPr="00A76C93">
        <w:rPr>
          <w:rFonts w:ascii="Garamond" w:hAnsi="Garamond"/>
          <w:i/>
          <w:iCs/>
          <w:color w:val="000000" w:themeColor="text1"/>
          <w:sz w:val="20"/>
          <w:szCs w:val="20"/>
        </w:rPr>
        <w:t>Source : Rapport Secten, juin 2023</w:t>
      </w:r>
    </w:p>
    <w:p w14:paraId="062D9FF8" w14:textId="77777777" w:rsidR="00A76C93" w:rsidRPr="00A76C93" w:rsidRDefault="00A76C93" w:rsidP="00A76C93">
      <w:pPr>
        <w:tabs>
          <w:tab w:val="left" w:pos="6440"/>
        </w:tabs>
        <w:spacing w:line="252" w:lineRule="auto"/>
        <w:jc w:val="both"/>
        <w:rPr>
          <w:rFonts w:ascii="Garamond" w:hAnsi="Garamond"/>
          <w:color w:val="000000" w:themeColor="text1"/>
        </w:rPr>
      </w:pPr>
    </w:p>
    <w:p w14:paraId="5B69334C" w14:textId="7E7287BE" w:rsid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Surtout, c</w:t>
      </w:r>
      <w:r w:rsidR="00A76C93" w:rsidRPr="00A76C93">
        <w:rPr>
          <w:rFonts w:ascii="Garamond" w:hAnsi="Garamond"/>
          <w:color w:val="000000" w:themeColor="text1"/>
        </w:rPr>
        <w:t xml:space="preserve">es données arithmétiques, </w:t>
      </w:r>
      <w:r>
        <w:rPr>
          <w:rFonts w:ascii="Garamond" w:hAnsi="Garamond"/>
          <w:color w:val="000000" w:themeColor="text1"/>
        </w:rPr>
        <w:t>bien qu</w:t>
      </w:r>
      <w:r w:rsidR="00F86CA7">
        <w:rPr>
          <w:rFonts w:ascii="Garamond" w:hAnsi="Garamond"/>
          <w:color w:val="000000" w:themeColor="text1"/>
        </w:rPr>
        <w:t>’</w:t>
      </w:r>
      <w:r w:rsidR="00A76C93" w:rsidRPr="00A76C93">
        <w:rPr>
          <w:rFonts w:ascii="Garamond" w:hAnsi="Garamond"/>
          <w:color w:val="000000" w:themeColor="text1"/>
        </w:rPr>
        <w:t xml:space="preserve">encourageantes, apparaissent décorrélées </w:t>
      </w:r>
      <w:r>
        <w:rPr>
          <w:rFonts w:ascii="Garamond" w:hAnsi="Garamond"/>
          <w:color w:val="000000" w:themeColor="text1"/>
        </w:rPr>
        <w:t xml:space="preserve">des </w:t>
      </w:r>
      <w:r w:rsidR="00A76C93" w:rsidRPr="00A76C93">
        <w:rPr>
          <w:rFonts w:ascii="Garamond" w:hAnsi="Garamond"/>
          <w:color w:val="000000" w:themeColor="text1"/>
        </w:rPr>
        <w:t>politiques publiques effectivement mises en œuvre pour réduire les émissions liées au chauffage, à l</w:t>
      </w:r>
      <w:r w:rsidR="00F86CA7">
        <w:rPr>
          <w:rFonts w:ascii="Garamond" w:hAnsi="Garamond"/>
          <w:color w:val="000000" w:themeColor="text1"/>
        </w:rPr>
        <w:t>’</w:t>
      </w:r>
      <w:r w:rsidR="00A76C93" w:rsidRPr="00A76C93">
        <w:rPr>
          <w:rFonts w:ascii="Garamond" w:hAnsi="Garamond"/>
          <w:color w:val="000000" w:themeColor="text1"/>
        </w:rPr>
        <w:t xml:space="preserve">eau chaude sanitaire et aux modes de cuisson. </w:t>
      </w:r>
    </w:p>
    <w:p w14:paraId="765932EC" w14:textId="77777777" w:rsidR="002A591D" w:rsidRDefault="002A591D" w:rsidP="002A591D">
      <w:pPr>
        <w:spacing w:line="252" w:lineRule="auto"/>
        <w:jc w:val="both"/>
        <w:rPr>
          <w:rFonts w:ascii="Garamond" w:hAnsi="Garamond"/>
        </w:rPr>
      </w:pPr>
    </w:p>
    <w:p w14:paraId="57037D12" w14:textId="51FC2B3B" w:rsidR="00A07440" w:rsidRDefault="00A07440">
      <w:pPr>
        <w:rPr>
          <w:rFonts w:ascii="Garamond" w:hAnsi="Garamond"/>
          <w:color w:val="000000" w:themeColor="text1"/>
        </w:rPr>
      </w:pPr>
      <w:r>
        <w:rPr>
          <w:rFonts w:ascii="Garamond" w:hAnsi="Garamond"/>
          <w:color w:val="000000" w:themeColor="text1"/>
        </w:rPr>
        <w:br w:type="page"/>
      </w:r>
    </w:p>
    <w:p w14:paraId="52135E35" w14:textId="77777777" w:rsidR="002A591D" w:rsidRPr="00F52A38" w:rsidRDefault="002A591D" w:rsidP="002A591D">
      <w:pPr>
        <w:numPr>
          <w:ilvl w:val="0"/>
          <w:numId w:val="1"/>
        </w:numPr>
        <w:spacing w:line="252" w:lineRule="auto"/>
        <w:ind w:left="0" w:firstLine="0"/>
        <w:jc w:val="both"/>
        <w:rPr>
          <w:rFonts w:ascii="Garamond" w:hAnsi="Garamond"/>
          <w:color w:val="000000" w:themeColor="text1"/>
        </w:rPr>
      </w:pPr>
    </w:p>
    <w:p w14:paraId="3BE206C3" w14:textId="77777777" w:rsidR="002A591D" w:rsidRDefault="002A591D" w:rsidP="002A591D">
      <w:pPr>
        <w:tabs>
          <w:tab w:val="left" w:pos="6440"/>
        </w:tabs>
        <w:spacing w:line="252" w:lineRule="auto"/>
        <w:jc w:val="both"/>
        <w:rPr>
          <w:rFonts w:ascii="Garamond" w:hAnsi="Garamond"/>
          <w:color w:val="000000" w:themeColor="text1"/>
        </w:rPr>
      </w:pPr>
    </w:p>
    <w:p w14:paraId="6DE1DE99" w14:textId="73AA19AB"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D</w:t>
      </w:r>
      <w:r w:rsidR="00F86CA7">
        <w:rPr>
          <w:rFonts w:ascii="Garamond" w:hAnsi="Garamond"/>
          <w:color w:val="000000" w:themeColor="text1"/>
        </w:rPr>
        <w:t>’</w:t>
      </w:r>
      <w:r>
        <w:rPr>
          <w:rFonts w:ascii="Garamond" w:hAnsi="Garamond"/>
          <w:color w:val="000000" w:themeColor="text1"/>
        </w:rPr>
        <w:t>abord,</w:t>
      </w:r>
      <w:r w:rsidR="00A76C93" w:rsidRPr="00A76C93">
        <w:rPr>
          <w:rFonts w:ascii="Garamond" w:hAnsi="Garamond"/>
          <w:color w:val="000000" w:themeColor="text1"/>
        </w:rPr>
        <w:t xml:space="preserve"> le décrochage constaté ne coïncide pas avec une augmentation</w:t>
      </w:r>
      <w:r>
        <w:rPr>
          <w:rFonts w:ascii="Garamond" w:hAnsi="Garamond"/>
          <w:color w:val="000000" w:themeColor="text1"/>
        </w:rPr>
        <w:t xml:space="preserve"> nette</w:t>
      </w:r>
      <w:r w:rsidR="00A76C93" w:rsidRPr="00A76C93">
        <w:rPr>
          <w:rFonts w:ascii="Garamond" w:hAnsi="Garamond"/>
          <w:color w:val="000000" w:themeColor="text1"/>
        </w:rPr>
        <w:t xml:space="preserve"> des travaux d</w:t>
      </w:r>
      <w:r w:rsidR="00F86CA7">
        <w:rPr>
          <w:rFonts w:ascii="Garamond" w:hAnsi="Garamond"/>
          <w:color w:val="000000" w:themeColor="text1"/>
        </w:rPr>
        <w:t>’</w:t>
      </w:r>
      <w:r w:rsidR="00A76C93" w:rsidRPr="00A76C93">
        <w:rPr>
          <w:rFonts w:ascii="Garamond" w:hAnsi="Garamond"/>
          <w:color w:val="000000" w:themeColor="text1"/>
        </w:rPr>
        <w:t>efficacité énergétique</w:t>
      </w:r>
      <w:r>
        <w:rPr>
          <w:rFonts w:ascii="Garamond" w:hAnsi="Garamond"/>
          <w:color w:val="000000" w:themeColor="text1"/>
        </w:rPr>
        <w:t xml:space="preserve">, </w:t>
      </w:r>
      <w:r w:rsidR="00A76C93" w:rsidRPr="00A76C93">
        <w:rPr>
          <w:rFonts w:ascii="Garamond" w:hAnsi="Garamond"/>
          <w:color w:val="000000" w:themeColor="text1"/>
        </w:rPr>
        <w:t>ou une évolution notable de l</w:t>
      </w:r>
      <w:r w:rsidR="00F86CA7">
        <w:rPr>
          <w:rFonts w:ascii="Garamond" w:hAnsi="Garamond"/>
          <w:color w:val="000000" w:themeColor="text1"/>
        </w:rPr>
        <w:t>’</w:t>
      </w:r>
      <w:r w:rsidR="00A76C93" w:rsidRPr="00A76C93">
        <w:rPr>
          <w:rFonts w:ascii="Garamond" w:hAnsi="Garamond"/>
          <w:color w:val="000000" w:themeColor="text1"/>
        </w:rPr>
        <w:t xml:space="preserve">efficacité énergétique des bâtiments.  </w:t>
      </w:r>
    </w:p>
    <w:p w14:paraId="0D257451" w14:textId="77777777" w:rsidR="00A76C93" w:rsidRPr="00A76C93" w:rsidRDefault="00A76C93" w:rsidP="00A76C93">
      <w:pPr>
        <w:tabs>
          <w:tab w:val="left" w:pos="6440"/>
        </w:tabs>
        <w:spacing w:line="252" w:lineRule="auto"/>
        <w:jc w:val="both"/>
        <w:rPr>
          <w:rFonts w:ascii="Garamond" w:hAnsi="Garamond"/>
          <w:color w:val="000000" w:themeColor="text1"/>
        </w:rPr>
      </w:pPr>
    </w:p>
    <w:p w14:paraId="70EC0E15" w14:textId="0C45270E"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Ainsi, selon les données publiées par l</w:t>
      </w:r>
      <w:r w:rsidR="00F86CA7">
        <w:rPr>
          <w:rFonts w:ascii="Garamond" w:hAnsi="Garamond"/>
          <w:color w:val="000000" w:themeColor="text1"/>
        </w:rPr>
        <w:t>’</w:t>
      </w:r>
      <w:r w:rsidRPr="00A76C93">
        <w:rPr>
          <w:rFonts w:ascii="Garamond" w:hAnsi="Garamond"/>
          <w:color w:val="000000" w:themeColor="text1"/>
        </w:rPr>
        <w:t>Agence Nationale de l</w:t>
      </w:r>
      <w:r w:rsidR="00F86CA7">
        <w:rPr>
          <w:rFonts w:ascii="Garamond" w:hAnsi="Garamond"/>
          <w:color w:val="000000" w:themeColor="text1"/>
        </w:rPr>
        <w:t>’</w:t>
      </w:r>
      <w:r w:rsidRPr="00A76C93">
        <w:rPr>
          <w:rFonts w:ascii="Garamond" w:hAnsi="Garamond"/>
          <w:color w:val="000000" w:themeColor="text1"/>
        </w:rPr>
        <w:t>Habitat (ANAH) pour l</w:t>
      </w:r>
      <w:r w:rsidR="00F86CA7">
        <w:rPr>
          <w:rFonts w:ascii="Garamond" w:hAnsi="Garamond"/>
          <w:color w:val="000000" w:themeColor="text1"/>
        </w:rPr>
        <w:t>’</w:t>
      </w:r>
      <w:r w:rsidRPr="00A76C93">
        <w:rPr>
          <w:rFonts w:ascii="Garamond" w:hAnsi="Garamond"/>
          <w:color w:val="000000" w:themeColor="text1"/>
        </w:rPr>
        <w:t>année 2021, ce sont 644</w:t>
      </w:r>
      <w:r w:rsidR="002A591D">
        <w:rPr>
          <w:rFonts w:ascii="Garamond" w:hAnsi="Garamond"/>
          <w:color w:val="000000" w:themeColor="text1"/>
        </w:rPr>
        <w:t> </w:t>
      </w:r>
      <w:r w:rsidRPr="00A76C93">
        <w:rPr>
          <w:rFonts w:ascii="Garamond" w:hAnsi="Garamond"/>
          <w:color w:val="000000" w:themeColor="text1"/>
        </w:rPr>
        <w:t>073 Ma primRenov</w:t>
      </w:r>
      <w:r w:rsidR="00F86CA7">
        <w:rPr>
          <w:rFonts w:ascii="Garamond" w:hAnsi="Garamond"/>
          <w:color w:val="000000" w:themeColor="text1"/>
        </w:rPr>
        <w:t>’</w:t>
      </w:r>
      <w:r w:rsidRPr="00A76C93">
        <w:rPr>
          <w:rFonts w:ascii="Garamond" w:hAnsi="Garamond"/>
          <w:color w:val="000000" w:themeColor="text1"/>
        </w:rPr>
        <w:t xml:space="preserve"> qui ont été accordées en vue d</w:t>
      </w:r>
      <w:r w:rsidR="00F86CA7">
        <w:rPr>
          <w:rFonts w:ascii="Garamond" w:hAnsi="Garamond"/>
          <w:color w:val="000000" w:themeColor="text1"/>
        </w:rPr>
        <w:t>’</w:t>
      </w:r>
      <w:r w:rsidRPr="00A76C93">
        <w:rPr>
          <w:rFonts w:ascii="Garamond" w:hAnsi="Garamond"/>
          <w:color w:val="000000" w:themeColor="text1"/>
        </w:rPr>
        <w:t>entreprendre des travaux d</w:t>
      </w:r>
      <w:r w:rsidR="00F86CA7">
        <w:rPr>
          <w:rFonts w:ascii="Garamond" w:hAnsi="Garamond"/>
          <w:color w:val="000000" w:themeColor="text1"/>
        </w:rPr>
        <w:t>’</w:t>
      </w:r>
      <w:r w:rsidRPr="00A76C93">
        <w:rPr>
          <w:rFonts w:ascii="Garamond" w:hAnsi="Garamond"/>
          <w:color w:val="000000" w:themeColor="text1"/>
        </w:rPr>
        <w:t>efficacité énergétiqu</w:t>
      </w:r>
      <w:r w:rsidR="002A591D">
        <w:rPr>
          <w:rFonts w:ascii="Garamond" w:hAnsi="Garamond"/>
          <w:color w:val="000000" w:themeColor="text1"/>
        </w:rPr>
        <w:t xml:space="preserve">e, soit </w:t>
      </w:r>
      <w:r w:rsidRPr="00A76C93">
        <w:rPr>
          <w:rFonts w:ascii="Garamond" w:hAnsi="Garamond"/>
          <w:color w:val="000000" w:themeColor="text1"/>
        </w:rPr>
        <w:t>4,5 fois plus qu</w:t>
      </w:r>
      <w:r w:rsidR="00F86CA7">
        <w:rPr>
          <w:rFonts w:ascii="Garamond" w:hAnsi="Garamond"/>
          <w:color w:val="000000" w:themeColor="text1"/>
        </w:rPr>
        <w:t>’</w:t>
      </w:r>
      <w:r w:rsidRPr="00A76C93">
        <w:rPr>
          <w:rFonts w:ascii="Garamond" w:hAnsi="Garamond"/>
          <w:color w:val="000000" w:themeColor="text1"/>
        </w:rPr>
        <w:t xml:space="preserve">en 2020. </w:t>
      </w:r>
    </w:p>
    <w:p w14:paraId="2AE5207C" w14:textId="77777777" w:rsidR="00A76C93" w:rsidRPr="00A76C93" w:rsidRDefault="00A76C93" w:rsidP="00A76C93">
      <w:pPr>
        <w:tabs>
          <w:tab w:val="left" w:pos="6440"/>
        </w:tabs>
        <w:spacing w:line="252" w:lineRule="auto"/>
        <w:jc w:val="both"/>
        <w:rPr>
          <w:rFonts w:ascii="Garamond" w:hAnsi="Garamond"/>
          <w:color w:val="000000" w:themeColor="text1"/>
        </w:rPr>
      </w:pPr>
    </w:p>
    <w:p w14:paraId="331BFB68" w14:textId="0AB5180C"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Or</w:t>
      </w:r>
      <w:r w:rsidR="00A76C93" w:rsidRPr="00A76C93">
        <w:rPr>
          <w:rFonts w:ascii="Garamond" w:hAnsi="Garamond"/>
          <w:color w:val="000000" w:themeColor="text1"/>
        </w:rPr>
        <w:t xml:space="preserve">, </w:t>
      </w:r>
      <w:r>
        <w:rPr>
          <w:rFonts w:ascii="Garamond" w:hAnsi="Garamond"/>
          <w:color w:val="000000" w:themeColor="text1"/>
        </w:rPr>
        <w:t>malgré</w:t>
      </w:r>
      <w:r w:rsidR="00A76C93" w:rsidRPr="00A76C93">
        <w:rPr>
          <w:rFonts w:ascii="Garamond" w:hAnsi="Garamond"/>
          <w:color w:val="000000" w:themeColor="text1"/>
        </w:rPr>
        <w:t xml:space="preserve"> cet investissement conséquent</w:t>
      </w:r>
      <w:r>
        <w:rPr>
          <w:rFonts w:ascii="Garamond" w:hAnsi="Garamond"/>
          <w:color w:val="000000" w:themeColor="text1"/>
        </w:rPr>
        <w:t xml:space="preserve">, les </w:t>
      </w:r>
      <w:r w:rsidR="00A76C93" w:rsidRPr="00A76C93">
        <w:rPr>
          <w:rFonts w:ascii="Garamond" w:hAnsi="Garamond"/>
          <w:color w:val="000000" w:themeColor="text1"/>
        </w:rPr>
        <w:t>émissions imputables au chauffage, à l</w:t>
      </w:r>
      <w:r w:rsidR="00F86CA7">
        <w:rPr>
          <w:rFonts w:ascii="Garamond" w:hAnsi="Garamond"/>
          <w:color w:val="000000" w:themeColor="text1"/>
        </w:rPr>
        <w:t>’</w:t>
      </w:r>
      <w:r w:rsidR="00A76C93" w:rsidRPr="00A76C93">
        <w:rPr>
          <w:rFonts w:ascii="Garamond" w:hAnsi="Garamond"/>
          <w:color w:val="000000" w:themeColor="text1"/>
        </w:rPr>
        <w:t>eau chaude sanitaire et à la cuisson domestique</w:t>
      </w:r>
      <w:r>
        <w:rPr>
          <w:rFonts w:ascii="Garamond" w:hAnsi="Garamond"/>
          <w:color w:val="000000" w:themeColor="text1"/>
        </w:rPr>
        <w:t xml:space="preserve"> ont augmenté en 2021. Elles sont ainsi passées </w:t>
      </w:r>
      <w:r w:rsidR="00A76C93" w:rsidRPr="00A76C93">
        <w:rPr>
          <w:rFonts w:ascii="Garamond" w:hAnsi="Garamond"/>
          <w:color w:val="000000" w:themeColor="text1"/>
        </w:rPr>
        <w:t>de 39,9</w:t>
      </w:r>
      <w:r>
        <w:rPr>
          <w:rFonts w:ascii="Garamond" w:hAnsi="Garamond"/>
          <w:color w:val="000000" w:themeColor="text1"/>
        </w:rPr>
        <w:t> </w:t>
      </w:r>
      <w:r w:rsidRPr="00A76C93">
        <w:rPr>
          <w:rFonts w:ascii="Garamond" w:hAnsi="Garamond"/>
          <w:color w:val="000000" w:themeColor="text1"/>
        </w:rPr>
        <w:t>MtCO</w:t>
      </w:r>
      <w:r w:rsidRPr="00A76C93">
        <w:rPr>
          <w:rFonts w:ascii="Garamond" w:hAnsi="Garamond"/>
          <w:color w:val="000000" w:themeColor="text1"/>
          <w:vertAlign w:val="subscript"/>
        </w:rPr>
        <w:t>2</w:t>
      </w:r>
      <w:r>
        <w:rPr>
          <w:rFonts w:ascii="Garamond" w:hAnsi="Garamond"/>
          <w:color w:val="000000" w:themeColor="text1"/>
        </w:rPr>
        <w:t>eq</w:t>
      </w:r>
      <w:r w:rsidRPr="00A76C93">
        <w:rPr>
          <w:rFonts w:ascii="Garamond" w:hAnsi="Garamond"/>
          <w:color w:val="000000" w:themeColor="text1"/>
        </w:rPr>
        <w:t xml:space="preserve"> </w:t>
      </w:r>
      <w:r w:rsidR="00A76C93" w:rsidRPr="00A76C93">
        <w:rPr>
          <w:rFonts w:ascii="Garamond" w:hAnsi="Garamond"/>
          <w:color w:val="000000" w:themeColor="text1"/>
        </w:rPr>
        <w:t>en 2020 à 42,3</w:t>
      </w:r>
      <w:r>
        <w:rPr>
          <w:rFonts w:ascii="Garamond" w:hAnsi="Garamond"/>
          <w:color w:val="000000" w:themeColor="text1"/>
        </w:rPr>
        <w:t> </w:t>
      </w:r>
      <w:r w:rsidRPr="00A76C93">
        <w:rPr>
          <w:rFonts w:ascii="Garamond" w:hAnsi="Garamond"/>
          <w:color w:val="000000" w:themeColor="text1"/>
        </w:rPr>
        <w:t>MtCO</w:t>
      </w:r>
      <w:r w:rsidRPr="00A76C93">
        <w:rPr>
          <w:rFonts w:ascii="Garamond" w:hAnsi="Garamond"/>
          <w:color w:val="000000" w:themeColor="text1"/>
          <w:vertAlign w:val="subscript"/>
        </w:rPr>
        <w:t>2</w:t>
      </w:r>
      <w:r>
        <w:rPr>
          <w:rFonts w:ascii="Garamond" w:hAnsi="Garamond"/>
          <w:color w:val="000000" w:themeColor="text1"/>
        </w:rPr>
        <w:t>eq</w:t>
      </w:r>
      <w:r w:rsidRPr="00A76C93">
        <w:rPr>
          <w:rFonts w:ascii="Garamond" w:hAnsi="Garamond"/>
          <w:color w:val="000000" w:themeColor="text1"/>
        </w:rPr>
        <w:t xml:space="preserve"> </w:t>
      </w:r>
      <w:r w:rsidR="00A76C93" w:rsidRPr="00A76C93">
        <w:rPr>
          <w:rFonts w:ascii="Garamond" w:hAnsi="Garamond"/>
          <w:color w:val="000000" w:themeColor="text1"/>
        </w:rPr>
        <w:t>en 2021, soit une augmentation de 2,4</w:t>
      </w:r>
      <w:r>
        <w:rPr>
          <w:rFonts w:ascii="Garamond" w:hAnsi="Garamond"/>
          <w:color w:val="000000" w:themeColor="text1"/>
        </w:rPr>
        <w:t> </w:t>
      </w:r>
      <w:r w:rsidRPr="00A76C93">
        <w:rPr>
          <w:rFonts w:ascii="Garamond" w:hAnsi="Garamond"/>
          <w:color w:val="000000" w:themeColor="text1"/>
        </w:rPr>
        <w:t>MtCO</w:t>
      </w:r>
      <w:r w:rsidRPr="00A76C93">
        <w:rPr>
          <w:rFonts w:ascii="Garamond" w:hAnsi="Garamond"/>
          <w:color w:val="000000" w:themeColor="text1"/>
          <w:vertAlign w:val="subscript"/>
        </w:rPr>
        <w:t>2</w:t>
      </w:r>
      <w:r>
        <w:rPr>
          <w:rFonts w:ascii="Garamond" w:hAnsi="Garamond"/>
          <w:color w:val="000000" w:themeColor="text1"/>
        </w:rPr>
        <w:t>eq</w:t>
      </w:r>
      <w:r w:rsidRPr="00A76C93">
        <w:rPr>
          <w:rFonts w:ascii="Garamond" w:hAnsi="Garamond"/>
          <w:color w:val="000000" w:themeColor="text1"/>
        </w:rPr>
        <w:t xml:space="preserve"> </w:t>
      </w:r>
      <w:r w:rsidR="00A76C93" w:rsidRPr="00A76C93">
        <w:rPr>
          <w:rFonts w:ascii="Garamond" w:hAnsi="Garamond"/>
          <w:color w:val="000000" w:themeColor="text1"/>
        </w:rPr>
        <w:t>(</w:t>
      </w:r>
      <w:r>
        <w:rPr>
          <w:rFonts w:ascii="Garamond" w:hAnsi="Garamond"/>
          <w:color w:val="000000" w:themeColor="text1"/>
        </w:rPr>
        <w:t xml:space="preserve">en ce sens, voir : </w:t>
      </w:r>
      <w:r w:rsidR="00A76C93" w:rsidRPr="00A76C93">
        <w:rPr>
          <w:rFonts w:ascii="Garamond" w:hAnsi="Garamond"/>
          <w:color w:val="000000" w:themeColor="text1"/>
        </w:rPr>
        <w:t xml:space="preserve">R. </w:t>
      </w:r>
      <w:r w:rsidR="00A76C93" w:rsidRPr="00A76C93">
        <w:rPr>
          <w:rFonts w:ascii="Garamond" w:hAnsi="Garamond"/>
          <w:caps/>
          <w:color w:val="000000" w:themeColor="text1"/>
        </w:rPr>
        <w:t>Boughriet,</w:t>
      </w:r>
      <w:r w:rsidR="00A76C93" w:rsidRPr="00A76C93">
        <w:rPr>
          <w:rFonts w:ascii="Garamond" w:hAnsi="Garamond"/>
          <w:color w:val="000000" w:themeColor="text1"/>
        </w:rPr>
        <w:t xml:space="preserve"> « Ma primRenov</w:t>
      </w:r>
      <w:r w:rsidR="00F86CA7">
        <w:rPr>
          <w:rFonts w:ascii="Garamond" w:hAnsi="Garamond"/>
          <w:color w:val="000000" w:themeColor="text1"/>
        </w:rPr>
        <w:t>’</w:t>
      </w:r>
      <w:r w:rsidR="00A76C93" w:rsidRPr="00A76C93">
        <w:rPr>
          <w:rFonts w:ascii="Garamond" w:hAnsi="Garamond"/>
          <w:color w:val="000000" w:themeColor="text1"/>
        </w:rPr>
        <w:t> : 4,5 fois plus d</w:t>
      </w:r>
      <w:r w:rsidR="00F86CA7">
        <w:rPr>
          <w:rFonts w:ascii="Garamond" w:hAnsi="Garamond"/>
          <w:color w:val="000000" w:themeColor="text1"/>
        </w:rPr>
        <w:t>’</w:t>
      </w:r>
      <w:r w:rsidR="00A76C93" w:rsidRPr="00A76C93">
        <w:rPr>
          <w:rFonts w:ascii="Garamond" w:hAnsi="Garamond"/>
          <w:color w:val="000000" w:themeColor="text1"/>
        </w:rPr>
        <w:t xml:space="preserve">aides accordées en 2021 », </w:t>
      </w:r>
      <w:r w:rsidR="00A76C93" w:rsidRPr="00A76C93">
        <w:rPr>
          <w:rFonts w:ascii="Garamond" w:hAnsi="Garamond"/>
          <w:i/>
          <w:iCs/>
          <w:color w:val="000000" w:themeColor="text1"/>
        </w:rPr>
        <w:t>ActuEnvironnement</w:t>
      </w:r>
      <w:r w:rsidR="00A76C93" w:rsidRPr="00A76C93">
        <w:rPr>
          <w:rFonts w:ascii="Garamond" w:hAnsi="Garamond"/>
          <w:color w:val="000000" w:themeColor="text1"/>
        </w:rPr>
        <w:t>, 27</w:t>
      </w:r>
      <w:r>
        <w:rPr>
          <w:rFonts w:ascii="Garamond" w:hAnsi="Garamond"/>
          <w:color w:val="000000" w:themeColor="text1"/>
        </w:rPr>
        <w:t xml:space="preserve"> janvier </w:t>
      </w:r>
      <w:r w:rsidR="00A76C93" w:rsidRPr="00A76C93">
        <w:rPr>
          <w:rFonts w:ascii="Garamond" w:hAnsi="Garamond"/>
          <w:color w:val="000000" w:themeColor="text1"/>
        </w:rPr>
        <w:t xml:space="preserve">2022). </w:t>
      </w:r>
    </w:p>
    <w:p w14:paraId="53888DC3" w14:textId="77777777" w:rsidR="00A76C93" w:rsidRPr="00A76C93" w:rsidRDefault="00A76C93" w:rsidP="00A76C93">
      <w:pPr>
        <w:tabs>
          <w:tab w:val="left" w:pos="6440"/>
        </w:tabs>
        <w:spacing w:line="252" w:lineRule="auto"/>
        <w:jc w:val="both"/>
        <w:rPr>
          <w:rFonts w:ascii="Garamond" w:hAnsi="Garamond"/>
          <w:color w:val="000000" w:themeColor="text1"/>
        </w:rPr>
      </w:pPr>
    </w:p>
    <w:p w14:paraId="54CB3EDF" w14:textId="63CC3370" w:rsidR="002A591D"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Au contraire, en 2022, le nombre de bénéficiaires de Ma primRénov</w:t>
      </w:r>
      <w:r w:rsidR="00F86CA7">
        <w:rPr>
          <w:rFonts w:ascii="Garamond" w:hAnsi="Garamond"/>
          <w:color w:val="000000" w:themeColor="text1"/>
        </w:rPr>
        <w:t>’</w:t>
      </w:r>
      <w:r w:rsidRPr="00A76C93">
        <w:rPr>
          <w:rFonts w:ascii="Garamond" w:hAnsi="Garamond"/>
          <w:color w:val="000000" w:themeColor="text1"/>
        </w:rPr>
        <w:t xml:space="preserve"> est resté </w:t>
      </w:r>
      <w:r w:rsidR="002A591D">
        <w:rPr>
          <w:rFonts w:ascii="Garamond" w:hAnsi="Garamond"/>
          <w:color w:val="000000" w:themeColor="text1"/>
        </w:rPr>
        <w:t xml:space="preserve">relativement </w:t>
      </w:r>
      <w:r w:rsidRPr="00A76C93">
        <w:rPr>
          <w:rFonts w:ascii="Garamond" w:hAnsi="Garamond"/>
          <w:color w:val="000000" w:themeColor="text1"/>
        </w:rPr>
        <w:t>stable, pour s</w:t>
      </w:r>
      <w:r w:rsidR="00F86CA7">
        <w:rPr>
          <w:rFonts w:ascii="Garamond" w:hAnsi="Garamond"/>
          <w:color w:val="000000" w:themeColor="text1"/>
        </w:rPr>
        <w:t>’</w:t>
      </w:r>
      <w:r w:rsidRPr="00A76C93">
        <w:rPr>
          <w:rFonts w:ascii="Garamond" w:hAnsi="Garamond"/>
          <w:color w:val="000000" w:themeColor="text1"/>
        </w:rPr>
        <w:t>établir</w:t>
      </w:r>
      <w:r w:rsidR="002A591D">
        <w:rPr>
          <w:rFonts w:ascii="Garamond" w:hAnsi="Garamond"/>
          <w:color w:val="000000" w:themeColor="text1"/>
        </w:rPr>
        <w:t>,</w:t>
      </w:r>
      <w:r w:rsidRPr="00A76C93">
        <w:rPr>
          <w:rFonts w:ascii="Garamond" w:hAnsi="Garamond"/>
          <w:color w:val="000000" w:themeColor="text1"/>
        </w:rPr>
        <w:t xml:space="preserve"> selon les données de l</w:t>
      </w:r>
      <w:r w:rsidR="00F86CA7">
        <w:rPr>
          <w:rFonts w:ascii="Garamond" w:hAnsi="Garamond"/>
          <w:color w:val="000000" w:themeColor="text1"/>
        </w:rPr>
        <w:t>’</w:t>
      </w:r>
      <w:r w:rsidRPr="00A76C93">
        <w:rPr>
          <w:rFonts w:ascii="Garamond" w:hAnsi="Garamond"/>
          <w:color w:val="000000" w:themeColor="text1"/>
        </w:rPr>
        <w:t>ANAH, à 669 890 bénéficiaires</w:t>
      </w:r>
      <w:r w:rsidR="002A591D">
        <w:rPr>
          <w:rFonts w:ascii="Garamond" w:hAnsi="Garamond"/>
          <w:color w:val="000000" w:themeColor="text1"/>
        </w:rPr>
        <w:t>, soit une augmentation,</w:t>
      </w:r>
      <w:r w:rsidRPr="00A76C93">
        <w:rPr>
          <w:rFonts w:ascii="Garamond" w:hAnsi="Garamond"/>
          <w:color w:val="000000" w:themeColor="text1"/>
        </w:rPr>
        <w:t xml:space="preserve"> modeste</w:t>
      </w:r>
      <w:r w:rsidR="002A591D">
        <w:rPr>
          <w:rFonts w:ascii="Garamond" w:hAnsi="Garamond"/>
          <w:color w:val="000000" w:themeColor="text1"/>
        </w:rPr>
        <w:t>,</w:t>
      </w:r>
      <w:r w:rsidRPr="00A76C93">
        <w:rPr>
          <w:rFonts w:ascii="Garamond" w:hAnsi="Garamond"/>
          <w:color w:val="000000" w:themeColor="text1"/>
        </w:rPr>
        <w:t xml:space="preserve"> </w:t>
      </w:r>
      <w:r w:rsidR="002A591D">
        <w:rPr>
          <w:rFonts w:ascii="Garamond" w:hAnsi="Garamond"/>
          <w:color w:val="000000" w:themeColor="text1"/>
        </w:rPr>
        <w:t>de</w:t>
      </w:r>
      <w:r w:rsidRPr="00A76C93">
        <w:rPr>
          <w:rFonts w:ascii="Garamond" w:hAnsi="Garamond"/>
          <w:color w:val="000000" w:themeColor="text1"/>
        </w:rPr>
        <w:t xml:space="preserve"> 25 817 bénéficiaires</w:t>
      </w:r>
      <w:r w:rsidR="002A591D">
        <w:rPr>
          <w:rFonts w:ascii="Garamond" w:hAnsi="Garamond"/>
          <w:color w:val="000000" w:themeColor="text1"/>
        </w:rPr>
        <w:t xml:space="preserve">. </w:t>
      </w:r>
    </w:p>
    <w:p w14:paraId="3DFD4162" w14:textId="77777777" w:rsidR="002A591D" w:rsidRDefault="002A591D" w:rsidP="00A76C93">
      <w:pPr>
        <w:tabs>
          <w:tab w:val="left" w:pos="6440"/>
        </w:tabs>
        <w:spacing w:line="252" w:lineRule="auto"/>
        <w:jc w:val="both"/>
        <w:rPr>
          <w:rFonts w:ascii="Garamond" w:hAnsi="Garamond"/>
          <w:color w:val="000000" w:themeColor="text1"/>
        </w:rPr>
      </w:pPr>
    </w:p>
    <w:p w14:paraId="38B34888" w14:textId="496EDD0E"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Pour autant, </w:t>
      </w:r>
      <w:r w:rsidR="00A76C93" w:rsidRPr="00A76C93">
        <w:rPr>
          <w:rFonts w:ascii="Garamond" w:hAnsi="Garamond"/>
          <w:color w:val="000000" w:themeColor="text1"/>
        </w:rPr>
        <w:t>les émissions de gaz à effet de serre liées au chauffage, à l</w:t>
      </w:r>
      <w:r w:rsidR="00F86CA7">
        <w:rPr>
          <w:rFonts w:ascii="Garamond" w:hAnsi="Garamond"/>
          <w:color w:val="000000" w:themeColor="text1"/>
        </w:rPr>
        <w:t>’</w:t>
      </w:r>
      <w:r w:rsidR="00A76C93" w:rsidRPr="00A76C93">
        <w:rPr>
          <w:rFonts w:ascii="Garamond" w:hAnsi="Garamond"/>
          <w:color w:val="000000" w:themeColor="text1"/>
        </w:rPr>
        <w:t xml:space="preserve">eau chaude sanitaire et à la cuisson domestique ont fortement </w:t>
      </w:r>
      <w:r>
        <w:rPr>
          <w:rFonts w:ascii="Garamond" w:hAnsi="Garamond"/>
          <w:color w:val="000000" w:themeColor="text1"/>
        </w:rPr>
        <w:t xml:space="preserve">diminué en 2022, pour </w:t>
      </w:r>
      <w:r w:rsidR="00A76C93" w:rsidRPr="00A76C93">
        <w:rPr>
          <w:rFonts w:ascii="Garamond" w:hAnsi="Garamond"/>
          <w:color w:val="000000" w:themeColor="text1"/>
        </w:rPr>
        <w:t>pass</w:t>
      </w:r>
      <w:r>
        <w:rPr>
          <w:rFonts w:ascii="Garamond" w:hAnsi="Garamond"/>
          <w:color w:val="000000" w:themeColor="text1"/>
        </w:rPr>
        <w:t>er</w:t>
      </w:r>
      <w:r w:rsidR="00A76C93" w:rsidRPr="00A76C93">
        <w:rPr>
          <w:rFonts w:ascii="Garamond" w:hAnsi="Garamond"/>
          <w:color w:val="000000" w:themeColor="text1"/>
        </w:rPr>
        <w:t xml:space="preserve"> de 42,</w:t>
      </w:r>
      <w:r w:rsidRPr="00A76C93">
        <w:rPr>
          <w:rFonts w:ascii="Garamond" w:hAnsi="Garamond"/>
          <w:color w:val="000000" w:themeColor="text1"/>
        </w:rPr>
        <w:t>3</w:t>
      </w:r>
      <w:r>
        <w:rPr>
          <w:rFonts w:ascii="Garamond" w:hAnsi="Garamond"/>
          <w:color w:val="000000" w:themeColor="text1"/>
        </w:rPr>
        <w:t> </w:t>
      </w:r>
      <w:r w:rsidRPr="00A76C93">
        <w:rPr>
          <w:rFonts w:ascii="Garamond" w:hAnsi="Garamond"/>
          <w:color w:val="000000" w:themeColor="text1"/>
        </w:rPr>
        <w:t>MtCO</w:t>
      </w:r>
      <w:r w:rsidRPr="00A76C93">
        <w:rPr>
          <w:rFonts w:ascii="Garamond" w:hAnsi="Garamond"/>
          <w:color w:val="000000" w:themeColor="text1"/>
          <w:vertAlign w:val="subscript"/>
        </w:rPr>
        <w:t>2</w:t>
      </w:r>
      <w:r>
        <w:rPr>
          <w:rFonts w:ascii="Garamond" w:hAnsi="Garamond"/>
          <w:color w:val="000000" w:themeColor="text1"/>
        </w:rPr>
        <w:t>eq</w:t>
      </w:r>
      <w:r w:rsidRPr="00A76C93">
        <w:rPr>
          <w:rFonts w:ascii="Garamond" w:hAnsi="Garamond"/>
          <w:color w:val="000000" w:themeColor="text1"/>
        </w:rPr>
        <w:t xml:space="preserve"> </w:t>
      </w:r>
      <w:r w:rsidR="00A76C93" w:rsidRPr="00A76C93">
        <w:rPr>
          <w:rFonts w:ascii="Garamond" w:hAnsi="Garamond"/>
          <w:color w:val="000000" w:themeColor="text1"/>
        </w:rPr>
        <w:t>à 35,2</w:t>
      </w:r>
      <w:r>
        <w:rPr>
          <w:rFonts w:ascii="Garamond" w:hAnsi="Garamond"/>
          <w:color w:val="000000" w:themeColor="text1"/>
        </w:rPr>
        <w:t> </w:t>
      </w:r>
      <w:r w:rsidRPr="00A76C93">
        <w:rPr>
          <w:rFonts w:ascii="Garamond" w:hAnsi="Garamond"/>
          <w:color w:val="000000" w:themeColor="text1"/>
        </w:rPr>
        <w:t>MtCO</w:t>
      </w:r>
      <w:r w:rsidRPr="00A76C93">
        <w:rPr>
          <w:rFonts w:ascii="Garamond" w:hAnsi="Garamond"/>
          <w:color w:val="000000" w:themeColor="text1"/>
          <w:vertAlign w:val="subscript"/>
        </w:rPr>
        <w:t>2</w:t>
      </w:r>
      <w:r>
        <w:rPr>
          <w:rFonts w:ascii="Garamond" w:hAnsi="Garamond"/>
          <w:color w:val="000000" w:themeColor="text1"/>
        </w:rPr>
        <w:t>eq</w:t>
      </w:r>
      <w:r w:rsidR="00A76C93" w:rsidRPr="00A76C93">
        <w:rPr>
          <w:rFonts w:ascii="Garamond" w:hAnsi="Garamond"/>
          <w:color w:val="000000" w:themeColor="text1"/>
        </w:rPr>
        <w:t xml:space="preserve">. </w:t>
      </w:r>
    </w:p>
    <w:p w14:paraId="50F26950" w14:textId="77777777" w:rsidR="00A76C93" w:rsidRPr="00A76C93" w:rsidRDefault="00A76C93" w:rsidP="00A76C93">
      <w:pPr>
        <w:tabs>
          <w:tab w:val="left" w:pos="6440"/>
        </w:tabs>
        <w:spacing w:line="252" w:lineRule="auto"/>
        <w:jc w:val="both"/>
        <w:rPr>
          <w:rFonts w:ascii="Garamond" w:hAnsi="Garamond"/>
          <w:color w:val="000000" w:themeColor="text1"/>
        </w:rPr>
      </w:pPr>
    </w:p>
    <w:p w14:paraId="16329EDB" w14:textId="0D774BE9" w:rsidR="002A591D"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Ces données </w:t>
      </w:r>
      <w:r w:rsidR="002A591D">
        <w:rPr>
          <w:rFonts w:ascii="Garamond" w:hAnsi="Garamond"/>
          <w:color w:val="000000" w:themeColor="text1"/>
        </w:rPr>
        <w:t>conduisent à</w:t>
      </w:r>
      <w:r w:rsidRPr="00A76C93">
        <w:rPr>
          <w:rFonts w:ascii="Garamond" w:hAnsi="Garamond"/>
          <w:color w:val="000000" w:themeColor="text1"/>
        </w:rPr>
        <w:t xml:space="preserve"> s</w:t>
      </w:r>
      <w:r w:rsidR="00F86CA7">
        <w:rPr>
          <w:rFonts w:ascii="Garamond" w:hAnsi="Garamond"/>
          <w:color w:val="000000" w:themeColor="text1"/>
        </w:rPr>
        <w:t>’</w:t>
      </w:r>
      <w:r w:rsidRPr="00A76C93">
        <w:rPr>
          <w:rFonts w:ascii="Garamond" w:hAnsi="Garamond"/>
          <w:color w:val="000000" w:themeColor="text1"/>
        </w:rPr>
        <w:t xml:space="preserve">interroger, à </w:t>
      </w:r>
      <w:r w:rsidR="002A591D">
        <w:rPr>
          <w:rFonts w:ascii="Garamond" w:hAnsi="Garamond"/>
          <w:color w:val="000000" w:themeColor="text1"/>
        </w:rPr>
        <w:t>l</w:t>
      </w:r>
      <w:r w:rsidR="00F86CA7">
        <w:rPr>
          <w:rFonts w:ascii="Garamond" w:hAnsi="Garamond"/>
          <w:color w:val="000000" w:themeColor="text1"/>
        </w:rPr>
        <w:t>’</w:t>
      </w:r>
      <w:r w:rsidR="002A591D">
        <w:rPr>
          <w:rFonts w:ascii="Garamond" w:hAnsi="Garamond"/>
          <w:color w:val="000000" w:themeColor="text1"/>
        </w:rPr>
        <w:t>instar</w:t>
      </w:r>
      <w:r w:rsidRPr="00A76C93">
        <w:rPr>
          <w:rFonts w:ascii="Garamond" w:hAnsi="Garamond"/>
          <w:color w:val="000000" w:themeColor="text1"/>
        </w:rPr>
        <w:t xml:space="preserve"> de la Cour des comptes, sur l</w:t>
      </w:r>
      <w:r w:rsidR="00F86CA7">
        <w:rPr>
          <w:rFonts w:ascii="Garamond" w:hAnsi="Garamond"/>
          <w:color w:val="000000" w:themeColor="text1"/>
        </w:rPr>
        <w:t>’</w:t>
      </w:r>
      <w:r w:rsidRPr="00A76C93">
        <w:rPr>
          <w:rFonts w:ascii="Garamond" w:hAnsi="Garamond"/>
          <w:color w:val="000000" w:themeColor="text1"/>
        </w:rPr>
        <w:t>efficacité des rénovations financées sur le fondement du levier Ma primRénov</w:t>
      </w:r>
      <w:r w:rsidR="00F86CA7">
        <w:rPr>
          <w:rFonts w:ascii="Garamond" w:hAnsi="Garamond"/>
          <w:color w:val="000000" w:themeColor="text1"/>
        </w:rPr>
        <w:t>’</w:t>
      </w:r>
      <w:r w:rsidRPr="00A76C93">
        <w:rPr>
          <w:rFonts w:ascii="Garamond" w:hAnsi="Garamond"/>
          <w:color w:val="000000" w:themeColor="text1"/>
        </w:rPr>
        <w:t xml:space="preserve">. </w:t>
      </w:r>
    </w:p>
    <w:p w14:paraId="6D06CF6D" w14:textId="77777777" w:rsidR="002A591D" w:rsidRDefault="002A591D" w:rsidP="00A76C93">
      <w:pPr>
        <w:tabs>
          <w:tab w:val="left" w:pos="6440"/>
        </w:tabs>
        <w:spacing w:line="252" w:lineRule="auto"/>
        <w:jc w:val="both"/>
        <w:rPr>
          <w:rFonts w:ascii="Garamond" w:hAnsi="Garamond"/>
          <w:color w:val="000000" w:themeColor="text1"/>
        </w:rPr>
      </w:pPr>
    </w:p>
    <w:p w14:paraId="1484C468" w14:textId="75DD6554"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Surtout, elles remettent en cause la corrélation</w:t>
      </w:r>
      <w:r w:rsidR="00A76C93" w:rsidRPr="00A76C93">
        <w:rPr>
          <w:rFonts w:ascii="Garamond" w:hAnsi="Garamond"/>
          <w:color w:val="000000" w:themeColor="text1"/>
        </w:rPr>
        <w:t xml:space="preserve"> entre le</w:t>
      </w:r>
      <w:r>
        <w:rPr>
          <w:rFonts w:ascii="Garamond" w:hAnsi="Garamond"/>
          <w:color w:val="000000" w:themeColor="text1"/>
        </w:rPr>
        <w:t>s</w:t>
      </w:r>
      <w:r w:rsidR="00A76C93" w:rsidRPr="00A76C93">
        <w:rPr>
          <w:rFonts w:ascii="Garamond" w:hAnsi="Garamond"/>
          <w:color w:val="000000" w:themeColor="text1"/>
        </w:rPr>
        <w:t xml:space="preserve"> dépenses engagées par l</w:t>
      </w:r>
      <w:r w:rsidR="00F86CA7">
        <w:rPr>
          <w:rFonts w:ascii="Garamond" w:hAnsi="Garamond"/>
          <w:color w:val="000000" w:themeColor="text1"/>
        </w:rPr>
        <w:t>’</w:t>
      </w:r>
      <w:r w:rsidR="00A76C93" w:rsidRPr="00A76C93">
        <w:rPr>
          <w:rFonts w:ascii="Garamond" w:hAnsi="Garamond"/>
          <w:color w:val="000000" w:themeColor="text1"/>
        </w:rPr>
        <w:t>État et les réductions d</w:t>
      </w:r>
      <w:r w:rsidR="00F86CA7">
        <w:rPr>
          <w:rFonts w:ascii="Garamond" w:hAnsi="Garamond"/>
          <w:color w:val="000000" w:themeColor="text1"/>
        </w:rPr>
        <w:t>’</w:t>
      </w:r>
      <w:r w:rsidR="00A76C93" w:rsidRPr="00A76C93">
        <w:rPr>
          <w:rFonts w:ascii="Garamond" w:hAnsi="Garamond"/>
          <w:color w:val="000000" w:themeColor="text1"/>
        </w:rPr>
        <w:t>émission</w:t>
      </w:r>
      <w:r>
        <w:rPr>
          <w:rFonts w:ascii="Garamond" w:hAnsi="Garamond"/>
          <w:color w:val="000000" w:themeColor="text1"/>
        </w:rPr>
        <w:t>s</w:t>
      </w:r>
      <w:r w:rsidR="00A76C93" w:rsidRPr="00A76C93">
        <w:rPr>
          <w:rFonts w:ascii="Garamond" w:hAnsi="Garamond"/>
          <w:color w:val="000000" w:themeColor="text1"/>
        </w:rPr>
        <w:t xml:space="preserve"> constatées car, ainsi que le relevait le rapport relatif à la dépense environnementale de l</w:t>
      </w:r>
      <w:r w:rsidR="00F86CA7">
        <w:rPr>
          <w:rFonts w:ascii="Garamond" w:hAnsi="Garamond"/>
          <w:color w:val="000000" w:themeColor="text1"/>
        </w:rPr>
        <w:t>’</w:t>
      </w:r>
      <w:r w:rsidR="00A76C93" w:rsidRPr="00A76C93">
        <w:rPr>
          <w:rFonts w:ascii="Garamond" w:hAnsi="Garamond"/>
          <w:color w:val="000000" w:themeColor="text1"/>
        </w:rPr>
        <w:t>État, « </w:t>
      </w:r>
      <w:r w:rsidR="00A76C93" w:rsidRPr="00A76C93">
        <w:rPr>
          <w:rFonts w:ascii="Garamond" w:hAnsi="Garamond"/>
          <w:i/>
          <w:color w:val="000000" w:themeColor="text1"/>
          <w:u w:val="single"/>
        </w:rPr>
        <w:t>76%</w:t>
      </w:r>
      <w:r w:rsidR="00A76C93" w:rsidRPr="00A76C93">
        <w:rPr>
          <w:rFonts w:ascii="Garamond" w:hAnsi="Garamond"/>
          <w:color w:val="000000" w:themeColor="text1"/>
        </w:rPr>
        <w:t xml:space="preserve"> [des actions entreprises avec ma prim</w:t>
      </w:r>
      <w:r w:rsidR="00F86CA7">
        <w:rPr>
          <w:rFonts w:ascii="Garamond" w:hAnsi="Garamond"/>
          <w:color w:val="000000" w:themeColor="text1"/>
        </w:rPr>
        <w:t>’</w:t>
      </w:r>
      <w:r w:rsidR="00A76C93" w:rsidRPr="00A76C93">
        <w:rPr>
          <w:rFonts w:ascii="Garamond" w:hAnsi="Garamond"/>
          <w:color w:val="000000" w:themeColor="text1"/>
        </w:rPr>
        <w:t xml:space="preserve">Renov] </w:t>
      </w:r>
      <w:r w:rsidR="00A76C93" w:rsidRPr="00A76C93">
        <w:rPr>
          <w:rFonts w:ascii="Garamond" w:hAnsi="Garamond"/>
          <w:i/>
          <w:color w:val="000000" w:themeColor="text1"/>
          <w:u w:val="single"/>
        </w:rPr>
        <w:t>concernent le chauffage et la production d</w:t>
      </w:r>
      <w:r w:rsidR="00F86CA7">
        <w:rPr>
          <w:rFonts w:ascii="Garamond" w:hAnsi="Garamond"/>
          <w:i/>
          <w:color w:val="000000" w:themeColor="text1"/>
          <w:u w:val="single"/>
        </w:rPr>
        <w:t>’</w:t>
      </w:r>
      <w:r w:rsidR="00A76C93" w:rsidRPr="00A76C93">
        <w:rPr>
          <w:rFonts w:ascii="Garamond" w:hAnsi="Garamond"/>
          <w:i/>
          <w:color w:val="000000" w:themeColor="text1"/>
          <w:u w:val="single"/>
        </w:rPr>
        <w:t>eau chaude</w:t>
      </w:r>
      <w:r w:rsidR="00A76C93" w:rsidRPr="00A76C93">
        <w:rPr>
          <w:rFonts w:ascii="Garamond" w:hAnsi="Garamond"/>
          <w:i/>
          <w:color w:val="000000" w:themeColor="text1"/>
        </w:rPr>
        <w:t>, dont 21% portent sur l</w:t>
      </w:r>
      <w:r w:rsidR="00F86CA7">
        <w:rPr>
          <w:rFonts w:ascii="Garamond" w:hAnsi="Garamond"/>
          <w:i/>
          <w:color w:val="000000" w:themeColor="text1"/>
        </w:rPr>
        <w:t>’</w:t>
      </w:r>
      <w:r w:rsidR="00A76C93" w:rsidRPr="00A76C93">
        <w:rPr>
          <w:rFonts w:ascii="Garamond" w:hAnsi="Garamond"/>
          <w:i/>
          <w:color w:val="000000" w:themeColor="text1"/>
        </w:rPr>
        <w:t>installation de pompe à chaleur et 23% sur l</w:t>
      </w:r>
      <w:r w:rsidR="00F86CA7">
        <w:rPr>
          <w:rFonts w:ascii="Garamond" w:hAnsi="Garamond"/>
          <w:i/>
          <w:color w:val="000000" w:themeColor="text1"/>
        </w:rPr>
        <w:t>’</w:t>
      </w:r>
      <w:r w:rsidR="00A76C93" w:rsidRPr="00A76C93">
        <w:rPr>
          <w:rFonts w:ascii="Garamond" w:hAnsi="Garamond"/>
          <w:i/>
          <w:color w:val="000000" w:themeColor="text1"/>
        </w:rPr>
        <w:t>isolation des murs, toitures et planchers</w:t>
      </w:r>
      <w:r w:rsidR="00A76C93" w:rsidRPr="00A76C93">
        <w:rPr>
          <w:rFonts w:ascii="Garamond" w:hAnsi="Garamond"/>
          <w:color w:val="000000" w:themeColor="text1"/>
        </w:rPr>
        <w:t> » (Ministère de l</w:t>
      </w:r>
      <w:r w:rsidR="00F86CA7">
        <w:rPr>
          <w:rFonts w:ascii="Garamond" w:hAnsi="Garamond"/>
          <w:color w:val="000000" w:themeColor="text1"/>
        </w:rPr>
        <w:t>’</w:t>
      </w:r>
      <w:r w:rsidR="00A76C93" w:rsidRPr="00A76C93">
        <w:rPr>
          <w:rFonts w:ascii="Garamond" w:hAnsi="Garamond"/>
          <w:color w:val="000000" w:themeColor="text1"/>
        </w:rPr>
        <w:t xml:space="preserve">environnement, </w:t>
      </w:r>
      <w:r w:rsidR="00A76C93" w:rsidRPr="00A76C93">
        <w:rPr>
          <w:rFonts w:ascii="Garamond" w:hAnsi="Garamond"/>
          <w:i/>
          <w:iCs/>
          <w:color w:val="000000" w:themeColor="text1"/>
        </w:rPr>
        <w:t>Rapport sur l</w:t>
      </w:r>
      <w:r w:rsidR="00F86CA7">
        <w:rPr>
          <w:rFonts w:ascii="Garamond" w:hAnsi="Garamond"/>
          <w:i/>
          <w:iCs/>
          <w:color w:val="000000" w:themeColor="text1"/>
        </w:rPr>
        <w:t>’</w:t>
      </w:r>
      <w:r w:rsidR="00A76C93" w:rsidRPr="00A76C93">
        <w:rPr>
          <w:rFonts w:ascii="Garamond" w:hAnsi="Garamond"/>
          <w:i/>
          <w:iCs/>
          <w:color w:val="000000" w:themeColor="text1"/>
        </w:rPr>
        <w:t>impact environnemental des dépenses de l</w:t>
      </w:r>
      <w:r w:rsidR="00F86CA7">
        <w:rPr>
          <w:rFonts w:ascii="Garamond" w:hAnsi="Garamond"/>
          <w:i/>
          <w:iCs/>
          <w:color w:val="000000" w:themeColor="text1"/>
        </w:rPr>
        <w:t>’</w:t>
      </w:r>
      <w:r w:rsidR="00A76C93" w:rsidRPr="00A76C93">
        <w:rPr>
          <w:rFonts w:ascii="Garamond" w:hAnsi="Garamond"/>
          <w:i/>
          <w:iCs/>
          <w:color w:val="000000" w:themeColor="text1"/>
        </w:rPr>
        <w:t>État</w:t>
      </w:r>
      <w:r w:rsidR="00A76C93" w:rsidRPr="00A76C93">
        <w:rPr>
          <w:rFonts w:ascii="Garamond" w:hAnsi="Garamond"/>
          <w:color w:val="000000" w:themeColor="text1"/>
        </w:rPr>
        <w:t>, octobre 2022, p.</w:t>
      </w:r>
      <w:r>
        <w:rPr>
          <w:rFonts w:ascii="Garamond" w:hAnsi="Garamond"/>
          <w:color w:val="000000" w:themeColor="text1"/>
        </w:rPr>
        <w:t> </w:t>
      </w:r>
      <w:r w:rsidR="00A76C93" w:rsidRPr="00A76C93">
        <w:rPr>
          <w:rFonts w:ascii="Garamond" w:hAnsi="Garamond"/>
          <w:color w:val="000000" w:themeColor="text1"/>
        </w:rPr>
        <w:t>186</w:t>
      </w:r>
      <w:r>
        <w:rPr>
          <w:rFonts w:ascii="Garamond" w:hAnsi="Garamond"/>
          <w:color w:val="000000" w:themeColor="text1"/>
        </w:rPr>
        <w:t xml:space="preserve">, soulignement ajouté). </w:t>
      </w:r>
    </w:p>
    <w:p w14:paraId="446F92C4" w14:textId="77777777" w:rsidR="00A76C93" w:rsidRPr="00A76C93" w:rsidRDefault="00A76C93" w:rsidP="00A76C93">
      <w:pPr>
        <w:tabs>
          <w:tab w:val="left" w:pos="6440"/>
        </w:tabs>
        <w:spacing w:line="252" w:lineRule="auto"/>
        <w:jc w:val="both"/>
        <w:rPr>
          <w:rFonts w:ascii="Garamond" w:hAnsi="Garamond"/>
          <w:color w:val="000000" w:themeColor="text1"/>
        </w:rPr>
      </w:pPr>
    </w:p>
    <w:p w14:paraId="075E308A" w14:textId="7DA70C02"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Ainsi, le décalage observé ne permet pas d</w:t>
      </w:r>
      <w:r w:rsidR="00F86CA7">
        <w:rPr>
          <w:rFonts w:ascii="Garamond" w:hAnsi="Garamond"/>
          <w:color w:val="000000" w:themeColor="text1"/>
        </w:rPr>
        <w:t>’</w:t>
      </w:r>
      <w:r w:rsidR="00A76C93" w:rsidRPr="00A76C93">
        <w:rPr>
          <w:rFonts w:ascii="Garamond" w:hAnsi="Garamond"/>
          <w:color w:val="000000" w:themeColor="text1"/>
        </w:rPr>
        <w:t>imputer aux seules actions de l</w:t>
      </w:r>
      <w:r w:rsidR="00F86CA7">
        <w:rPr>
          <w:rFonts w:ascii="Garamond" w:hAnsi="Garamond"/>
          <w:color w:val="000000" w:themeColor="text1"/>
        </w:rPr>
        <w:t>’</w:t>
      </w:r>
      <w:r w:rsidR="00A76C93" w:rsidRPr="00A76C93">
        <w:rPr>
          <w:rFonts w:ascii="Garamond" w:hAnsi="Garamond"/>
          <w:color w:val="000000" w:themeColor="text1"/>
        </w:rPr>
        <w:t xml:space="preserve">État, voire principalement à ses actions, le bénéfice </w:t>
      </w:r>
      <w:r>
        <w:rPr>
          <w:rFonts w:ascii="Garamond" w:hAnsi="Garamond"/>
          <w:color w:val="000000" w:themeColor="text1"/>
        </w:rPr>
        <w:t>des</w:t>
      </w:r>
      <w:r w:rsidR="00A76C93" w:rsidRPr="00A76C93">
        <w:rPr>
          <w:rFonts w:ascii="Garamond" w:hAnsi="Garamond"/>
          <w:color w:val="000000" w:themeColor="text1"/>
        </w:rPr>
        <w:t xml:space="preserve"> baisse</w:t>
      </w:r>
      <w:r>
        <w:rPr>
          <w:rFonts w:ascii="Garamond" w:hAnsi="Garamond"/>
          <w:color w:val="000000" w:themeColor="text1"/>
        </w:rPr>
        <w:t>s</w:t>
      </w:r>
      <w:r w:rsidR="00A76C93" w:rsidRPr="00A76C93">
        <w:rPr>
          <w:rFonts w:ascii="Garamond" w:hAnsi="Garamond"/>
          <w:color w:val="000000" w:themeColor="text1"/>
        </w:rPr>
        <w:t xml:space="preserve"> d</w:t>
      </w:r>
      <w:r w:rsidR="00F86CA7">
        <w:rPr>
          <w:rFonts w:ascii="Garamond" w:hAnsi="Garamond"/>
          <w:color w:val="000000" w:themeColor="text1"/>
        </w:rPr>
        <w:t>’</w:t>
      </w:r>
      <w:r w:rsidR="00A76C93" w:rsidRPr="00A76C93">
        <w:rPr>
          <w:rFonts w:ascii="Garamond" w:hAnsi="Garamond"/>
          <w:color w:val="000000" w:themeColor="text1"/>
        </w:rPr>
        <w:t>émission</w:t>
      </w:r>
      <w:r>
        <w:rPr>
          <w:rFonts w:ascii="Garamond" w:hAnsi="Garamond"/>
          <w:color w:val="000000" w:themeColor="text1"/>
        </w:rPr>
        <w:t>s</w:t>
      </w:r>
      <w:r w:rsidR="00A76C93" w:rsidRPr="00A76C93">
        <w:rPr>
          <w:rFonts w:ascii="Garamond" w:hAnsi="Garamond"/>
          <w:color w:val="000000" w:themeColor="text1"/>
        </w:rPr>
        <w:t xml:space="preserve"> constatée</w:t>
      </w:r>
      <w:r w:rsidR="00A07440">
        <w:rPr>
          <w:rFonts w:ascii="Garamond" w:hAnsi="Garamond"/>
          <w:color w:val="000000" w:themeColor="text1"/>
        </w:rPr>
        <w:t>s</w:t>
      </w:r>
      <w:r w:rsidR="00A76C93" w:rsidRPr="00A76C93">
        <w:rPr>
          <w:rFonts w:ascii="Garamond" w:hAnsi="Garamond"/>
          <w:color w:val="000000" w:themeColor="text1"/>
        </w:rPr>
        <w:t xml:space="preserve"> dans le secteur du bâtiment sur le poste du chauffage, de l</w:t>
      </w:r>
      <w:r w:rsidR="00F86CA7">
        <w:rPr>
          <w:rFonts w:ascii="Garamond" w:hAnsi="Garamond"/>
          <w:color w:val="000000" w:themeColor="text1"/>
        </w:rPr>
        <w:t>’</w:t>
      </w:r>
      <w:r w:rsidR="00A76C93" w:rsidRPr="00A76C93">
        <w:rPr>
          <w:rFonts w:ascii="Garamond" w:hAnsi="Garamond"/>
          <w:color w:val="000000" w:themeColor="text1"/>
        </w:rPr>
        <w:t xml:space="preserve">eau chaude sanitaire et de la cuisson domestique. </w:t>
      </w:r>
    </w:p>
    <w:p w14:paraId="4378CE9D" w14:textId="77777777" w:rsidR="00A76C93" w:rsidRPr="00A76C93" w:rsidRDefault="00A76C93" w:rsidP="00A76C93">
      <w:pPr>
        <w:tabs>
          <w:tab w:val="left" w:pos="6440"/>
        </w:tabs>
        <w:spacing w:line="252" w:lineRule="auto"/>
        <w:jc w:val="both"/>
        <w:rPr>
          <w:rFonts w:ascii="Garamond" w:hAnsi="Garamond"/>
          <w:color w:val="000000" w:themeColor="text1"/>
        </w:rPr>
      </w:pPr>
    </w:p>
    <w:p w14:paraId="0ED0CE85" w14:textId="77777777" w:rsidR="002A591D" w:rsidRPr="00F52A38" w:rsidRDefault="002A591D" w:rsidP="002A591D">
      <w:pPr>
        <w:numPr>
          <w:ilvl w:val="0"/>
          <w:numId w:val="1"/>
        </w:numPr>
        <w:spacing w:line="252" w:lineRule="auto"/>
        <w:ind w:left="0" w:firstLine="0"/>
        <w:jc w:val="both"/>
        <w:rPr>
          <w:rFonts w:ascii="Garamond" w:hAnsi="Garamond"/>
          <w:color w:val="000000" w:themeColor="text1"/>
        </w:rPr>
      </w:pPr>
    </w:p>
    <w:p w14:paraId="7B8F7B3C" w14:textId="77777777" w:rsidR="002A591D" w:rsidRDefault="002A591D" w:rsidP="002A591D">
      <w:pPr>
        <w:tabs>
          <w:tab w:val="left" w:pos="6440"/>
        </w:tabs>
        <w:spacing w:line="252" w:lineRule="auto"/>
        <w:jc w:val="both"/>
        <w:rPr>
          <w:rFonts w:ascii="Garamond" w:hAnsi="Garamond"/>
          <w:color w:val="000000" w:themeColor="text1"/>
        </w:rPr>
      </w:pPr>
    </w:p>
    <w:p w14:paraId="0C9B2485" w14:textId="4A60DD21"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Ce constat est, du reste, corroboré par</w:t>
      </w:r>
      <w:r w:rsidR="00A76C93" w:rsidRPr="00A76C93">
        <w:rPr>
          <w:rFonts w:ascii="Garamond" w:hAnsi="Garamond"/>
          <w:color w:val="000000" w:themeColor="text1"/>
        </w:rPr>
        <w:t xml:space="preserve"> l</w:t>
      </w:r>
      <w:r w:rsidR="00F86CA7">
        <w:rPr>
          <w:rFonts w:ascii="Garamond" w:hAnsi="Garamond"/>
          <w:color w:val="000000" w:themeColor="text1"/>
        </w:rPr>
        <w:t>’</w:t>
      </w:r>
      <w:r w:rsidR="00A76C93" w:rsidRPr="00A76C93">
        <w:rPr>
          <w:rFonts w:ascii="Garamond" w:hAnsi="Garamond"/>
          <w:color w:val="000000" w:themeColor="text1"/>
        </w:rPr>
        <w:t>absence d</w:t>
      </w:r>
      <w:r w:rsidR="00F86CA7">
        <w:rPr>
          <w:rFonts w:ascii="Garamond" w:hAnsi="Garamond"/>
          <w:color w:val="000000" w:themeColor="text1"/>
        </w:rPr>
        <w:t>’</w:t>
      </w:r>
      <w:r w:rsidR="00A76C93" w:rsidRPr="00A76C93">
        <w:rPr>
          <w:rFonts w:ascii="Garamond" w:hAnsi="Garamond"/>
          <w:color w:val="000000" w:themeColor="text1"/>
        </w:rPr>
        <w:t xml:space="preserve">évolution notable du nombre de passoires thermiques. </w:t>
      </w:r>
    </w:p>
    <w:p w14:paraId="36D4C0BC" w14:textId="77777777" w:rsidR="00A76C93" w:rsidRPr="00A76C93" w:rsidRDefault="00A76C93" w:rsidP="00A76C93">
      <w:pPr>
        <w:tabs>
          <w:tab w:val="left" w:pos="6440"/>
        </w:tabs>
        <w:spacing w:line="252" w:lineRule="auto"/>
        <w:jc w:val="both"/>
        <w:rPr>
          <w:rFonts w:ascii="Garamond" w:hAnsi="Garamond"/>
          <w:color w:val="000000" w:themeColor="text1"/>
        </w:rPr>
      </w:pPr>
    </w:p>
    <w:p w14:paraId="1AF2AB8A" w14:textId="7C33730D"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effet, s</w:t>
      </w:r>
      <w:r w:rsidR="00A76C93" w:rsidRPr="00A76C93">
        <w:rPr>
          <w:rFonts w:ascii="Garamond" w:hAnsi="Garamond"/>
          <w:color w:val="000000" w:themeColor="text1"/>
        </w:rPr>
        <w:t xml:space="preserve">elon les chiffres communiqués par le </w:t>
      </w:r>
      <w:r w:rsidRPr="00A76C93">
        <w:rPr>
          <w:rFonts w:ascii="Garamond" w:hAnsi="Garamond"/>
          <w:color w:val="000000" w:themeColor="text1"/>
        </w:rPr>
        <w:t>ministère de l</w:t>
      </w:r>
      <w:r w:rsidR="00F86CA7">
        <w:rPr>
          <w:rFonts w:ascii="Garamond" w:hAnsi="Garamond"/>
          <w:color w:val="000000" w:themeColor="text1"/>
        </w:rPr>
        <w:t>’</w:t>
      </w:r>
      <w:r w:rsidRPr="00A76C93">
        <w:rPr>
          <w:rFonts w:ascii="Garamond" w:hAnsi="Garamond"/>
          <w:color w:val="000000" w:themeColor="text1"/>
        </w:rPr>
        <w:t>Environnement</w:t>
      </w:r>
      <w:r w:rsidR="00A76C93" w:rsidRPr="00A76C93">
        <w:rPr>
          <w:rFonts w:ascii="Garamond" w:hAnsi="Garamond"/>
          <w:color w:val="000000" w:themeColor="text1"/>
        </w:rPr>
        <w:t>, le taux de passoires énergétiques (étiquettes F et G du DPE) dans le parc locatif privé s</w:t>
      </w:r>
      <w:r w:rsidR="00F86CA7">
        <w:rPr>
          <w:rFonts w:ascii="Garamond" w:hAnsi="Garamond"/>
          <w:color w:val="000000" w:themeColor="text1"/>
        </w:rPr>
        <w:t>’</w:t>
      </w:r>
      <w:r w:rsidR="00A76C93" w:rsidRPr="00A76C93">
        <w:rPr>
          <w:rFonts w:ascii="Garamond" w:hAnsi="Garamond"/>
          <w:color w:val="000000" w:themeColor="text1"/>
        </w:rPr>
        <w:t>établi</w:t>
      </w:r>
      <w:r>
        <w:rPr>
          <w:rFonts w:ascii="Garamond" w:hAnsi="Garamond"/>
          <w:color w:val="000000" w:themeColor="text1"/>
        </w:rPr>
        <w:t xml:space="preserve">ssait, </w:t>
      </w:r>
      <w:r w:rsidRPr="00A76C93">
        <w:rPr>
          <w:rFonts w:ascii="Garamond" w:hAnsi="Garamond"/>
          <w:color w:val="000000" w:themeColor="text1"/>
        </w:rPr>
        <w:t>au 1</w:t>
      </w:r>
      <w:r w:rsidRPr="00A76C93">
        <w:rPr>
          <w:rFonts w:ascii="Garamond" w:hAnsi="Garamond"/>
          <w:color w:val="000000" w:themeColor="text1"/>
          <w:vertAlign w:val="superscript"/>
        </w:rPr>
        <w:t>er</w:t>
      </w:r>
      <w:r w:rsidRPr="00A76C93">
        <w:rPr>
          <w:rFonts w:ascii="Garamond" w:hAnsi="Garamond"/>
          <w:color w:val="000000" w:themeColor="text1"/>
        </w:rPr>
        <w:t xml:space="preserve"> janvier 2022, </w:t>
      </w:r>
      <w:r w:rsidR="00A76C93" w:rsidRPr="00A76C93">
        <w:rPr>
          <w:rFonts w:ascii="Garamond" w:hAnsi="Garamond"/>
          <w:color w:val="000000" w:themeColor="text1"/>
        </w:rPr>
        <w:t>à 19,8 % et à 17,3 % dans l</w:t>
      </w:r>
      <w:r w:rsidR="00F86CA7">
        <w:rPr>
          <w:rFonts w:ascii="Garamond" w:hAnsi="Garamond"/>
          <w:color w:val="000000" w:themeColor="text1"/>
        </w:rPr>
        <w:t>’</w:t>
      </w:r>
      <w:r w:rsidR="00A76C93" w:rsidRPr="00A76C93">
        <w:rPr>
          <w:rFonts w:ascii="Garamond" w:hAnsi="Garamond"/>
          <w:color w:val="000000" w:themeColor="text1"/>
        </w:rPr>
        <w:t>ensemble des résidences principales</w:t>
      </w:r>
      <w:r>
        <w:rPr>
          <w:rStyle w:val="Appelnotedebasdep"/>
          <w:rFonts w:ascii="Garamond" w:hAnsi="Garamond"/>
          <w:color w:val="000000" w:themeColor="text1"/>
        </w:rPr>
        <w:footnoteReference w:id="3"/>
      </w:r>
      <w:r>
        <w:rPr>
          <w:rFonts w:ascii="Garamond" w:hAnsi="Garamond"/>
          <w:color w:val="000000" w:themeColor="text1"/>
        </w:rPr>
        <w:t>.</w:t>
      </w:r>
      <w:r w:rsidR="00A76C93" w:rsidRPr="00A76C93">
        <w:rPr>
          <w:rFonts w:ascii="Garamond" w:hAnsi="Garamond"/>
          <w:color w:val="000000" w:themeColor="text1"/>
        </w:rPr>
        <w:t xml:space="preserve"> </w:t>
      </w:r>
    </w:p>
    <w:p w14:paraId="6AAB8C4C" w14:textId="77777777" w:rsidR="00A76C93" w:rsidRPr="00A76C93" w:rsidRDefault="00A76C93" w:rsidP="00A76C93">
      <w:pPr>
        <w:tabs>
          <w:tab w:val="left" w:pos="6440"/>
        </w:tabs>
        <w:spacing w:line="252" w:lineRule="auto"/>
        <w:jc w:val="both"/>
        <w:rPr>
          <w:rFonts w:ascii="Garamond" w:hAnsi="Garamond"/>
          <w:color w:val="000000" w:themeColor="text1"/>
        </w:rPr>
      </w:pPr>
    </w:p>
    <w:p w14:paraId="53BC03E4" w14:textId="22278DD5" w:rsidR="002A591D"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lastRenderedPageBreak/>
        <w:t>Or, c</w:t>
      </w:r>
      <w:r w:rsidR="00A76C93" w:rsidRPr="00A76C93">
        <w:rPr>
          <w:rFonts w:ascii="Garamond" w:hAnsi="Garamond"/>
          <w:color w:val="000000" w:themeColor="text1"/>
        </w:rPr>
        <w:t>e chiffre traduit une stagnation de l</w:t>
      </w:r>
      <w:r w:rsidR="00F86CA7">
        <w:rPr>
          <w:rFonts w:ascii="Garamond" w:hAnsi="Garamond"/>
          <w:color w:val="000000" w:themeColor="text1"/>
        </w:rPr>
        <w:t>’</w:t>
      </w:r>
      <w:r w:rsidR="00A76C93" w:rsidRPr="00A76C93">
        <w:rPr>
          <w:rFonts w:ascii="Garamond" w:hAnsi="Garamond"/>
          <w:color w:val="000000" w:themeColor="text1"/>
        </w:rPr>
        <w:t>évolution de l</w:t>
      </w:r>
      <w:r w:rsidR="00F86CA7">
        <w:rPr>
          <w:rFonts w:ascii="Garamond" w:hAnsi="Garamond"/>
          <w:color w:val="000000" w:themeColor="text1"/>
        </w:rPr>
        <w:t>’</w:t>
      </w:r>
      <w:r w:rsidR="00A76C93" w:rsidRPr="00A76C93">
        <w:rPr>
          <w:rFonts w:ascii="Garamond" w:hAnsi="Garamond"/>
          <w:color w:val="000000" w:themeColor="text1"/>
        </w:rPr>
        <w:t xml:space="preserve">efficacité énergétique des bâtiments dans le secteur résidentiel. </w:t>
      </w:r>
    </w:p>
    <w:p w14:paraId="4209A560" w14:textId="77777777" w:rsidR="002A591D" w:rsidRDefault="002A591D" w:rsidP="00A76C93">
      <w:pPr>
        <w:tabs>
          <w:tab w:val="left" w:pos="6440"/>
        </w:tabs>
        <w:spacing w:line="252" w:lineRule="auto"/>
        <w:jc w:val="both"/>
        <w:rPr>
          <w:rFonts w:ascii="Garamond" w:hAnsi="Garamond"/>
          <w:color w:val="000000" w:themeColor="text1"/>
        </w:rPr>
      </w:pPr>
    </w:p>
    <w:p w14:paraId="3B157E47" w14:textId="2C61CFC4" w:rsid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À cet égard,</w:t>
      </w:r>
      <w:r w:rsidR="00A76C93" w:rsidRPr="00A76C93">
        <w:rPr>
          <w:rFonts w:ascii="Garamond" w:hAnsi="Garamond"/>
          <w:color w:val="000000" w:themeColor="text1"/>
        </w:rPr>
        <w:t xml:space="preserve"> l</w:t>
      </w:r>
      <w:r w:rsidR="00F86CA7">
        <w:rPr>
          <w:rFonts w:ascii="Garamond" w:hAnsi="Garamond"/>
          <w:color w:val="000000" w:themeColor="text1"/>
        </w:rPr>
        <w:t>’</w:t>
      </w:r>
      <w:r w:rsidR="00A76C93" w:rsidRPr="00A76C93">
        <w:rPr>
          <w:rFonts w:ascii="Garamond" w:hAnsi="Garamond"/>
          <w:color w:val="000000" w:themeColor="text1"/>
        </w:rPr>
        <w:t>Observatoire National de la Rénovation Énergétique (ONERC)</w:t>
      </w:r>
      <w:r>
        <w:rPr>
          <w:rFonts w:ascii="Garamond" w:hAnsi="Garamond"/>
          <w:color w:val="000000" w:themeColor="text1"/>
        </w:rPr>
        <w:t xml:space="preserve"> relevait, en 2022, que </w:t>
      </w:r>
      <w:r w:rsidR="00A76C93" w:rsidRPr="00A76C93">
        <w:rPr>
          <w:rFonts w:ascii="Garamond" w:hAnsi="Garamond"/>
          <w:color w:val="000000" w:themeColor="text1"/>
        </w:rPr>
        <w:t xml:space="preserve">la part des passoires thermiques </w:t>
      </w:r>
      <w:r>
        <w:rPr>
          <w:rFonts w:ascii="Garamond" w:hAnsi="Garamond"/>
          <w:color w:val="000000" w:themeColor="text1"/>
        </w:rPr>
        <w:t xml:space="preserve">– </w:t>
      </w:r>
      <w:r w:rsidR="00A76C93" w:rsidRPr="00A76C93">
        <w:rPr>
          <w:rFonts w:ascii="Garamond" w:hAnsi="Garamond"/>
          <w:color w:val="000000" w:themeColor="text1"/>
        </w:rPr>
        <w:t>bâtiments classés F et G</w:t>
      </w:r>
      <w:r>
        <w:rPr>
          <w:rFonts w:ascii="Garamond" w:hAnsi="Garamond"/>
          <w:color w:val="000000" w:themeColor="text1"/>
        </w:rPr>
        <w:t xml:space="preserve"> –</w:t>
      </w:r>
      <w:r w:rsidR="00A76C93" w:rsidRPr="00A76C93">
        <w:rPr>
          <w:rFonts w:ascii="Garamond" w:hAnsi="Garamond"/>
          <w:color w:val="000000" w:themeColor="text1"/>
        </w:rPr>
        <w:t xml:space="preserve"> dans le parc résidentiel aurait augmenté entre 2018 et 2022, alors que la part des bâtiments disposant d</w:t>
      </w:r>
      <w:r w:rsidR="00F86CA7">
        <w:rPr>
          <w:rFonts w:ascii="Garamond" w:hAnsi="Garamond"/>
          <w:color w:val="000000" w:themeColor="text1"/>
        </w:rPr>
        <w:t>’</w:t>
      </w:r>
      <w:r w:rsidR="00A76C93" w:rsidRPr="00A76C93">
        <w:rPr>
          <w:rFonts w:ascii="Garamond" w:hAnsi="Garamond"/>
          <w:color w:val="000000" w:themeColor="text1"/>
        </w:rPr>
        <w:t xml:space="preserve">une meilleure efficacité énergétique aurait diminué : </w:t>
      </w:r>
    </w:p>
    <w:p w14:paraId="17D820DB" w14:textId="77777777" w:rsidR="002A591D" w:rsidRPr="00A76C93" w:rsidRDefault="002A591D" w:rsidP="00A76C93">
      <w:pPr>
        <w:tabs>
          <w:tab w:val="left" w:pos="6440"/>
        </w:tabs>
        <w:spacing w:line="252" w:lineRule="auto"/>
        <w:jc w:val="both"/>
        <w:rPr>
          <w:rFonts w:ascii="Garamond" w:hAnsi="Garamond"/>
          <w:color w:val="000000" w:themeColor="text1"/>
        </w:rPr>
      </w:pPr>
    </w:p>
    <w:p w14:paraId="429A4F9F" w14:textId="4C26C9C0" w:rsidR="00A76C93" w:rsidRDefault="00A76C93" w:rsidP="002A591D">
      <w:pPr>
        <w:tabs>
          <w:tab w:val="left" w:pos="6440"/>
        </w:tabs>
        <w:spacing w:line="252" w:lineRule="auto"/>
        <w:ind w:left="567"/>
        <w:jc w:val="both"/>
        <w:rPr>
          <w:rFonts w:ascii="Garamond" w:hAnsi="Garamond"/>
          <w:color w:val="000000" w:themeColor="text1"/>
        </w:rPr>
      </w:pPr>
      <w:r w:rsidRPr="00A76C93">
        <w:rPr>
          <w:rFonts w:ascii="Garamond" w:hAnsi="Garamond"/>
          <w:color w:val="000000" w:themeColor="text1"/>
        </w:rPr>
        <w:t>« </w:t>
      </w:r>
      <w:r w:rsidRPr="00A76C93">
        <w:rPr>
          <w:rFonts w:ascii="Garamond" w:hAnsi="Garamond"/>
          <w:i/>
          <w:iCs/>
          <w:color w:val="000000" w:themeColor="text1"/>
        </w:rPr>
        <w:t>La part des passoires thermiques apparait un peu plus élevée (17,3 %, soit 5,2 millions de logements au 1er janvier 2022 contre 16,7 %, soit 4,8 millions de logements au 1er janvier 2018) alors que la part des résidences principales très performantes (étiquettes A et B) est plus faible (5,0 % contre 6,6 %</w:t>
      </w:r>
      <w:r w:rsidR="002A591D">
        <w:rPr>
          <w:rFonts w:ascii="Garamond" w:hAnsi="Garamond"/>
          <w:i/>
          <w:iCs/>
          <w:color w:val="000000" w:themeColor="text1"/>
        </w:rPr>
        <w:t xml:space="preserve"> </w:t>
      </w:r>
      <w:r w:rsidRPr="00A76C93">
        <w:rPr>
          <w:rFonts w:ascii="Garamond" w:hAnsi="Garamond"/>
          <w:i/>
          <w:iCs/>
          <w:color w:val="000000" w:themeColor="text1"/>
        </w:rPr>
        <w:t>précédemment)</w:t>
      </w:r>
      <w:r w:rsidRPr="00A76C93">
        <w:rPr>
          <w:rFonts w:ascii="Garamond" w:hAnsi="Garamond"/>
          <w:color w:val="000000" w:themeColor="text1"/>
        </w:rPr>
        <w:t xml:space="preserve"> » (ONERC, </w:t>
      </w:r>
      <w:r w:rsidRPr="00A76C93">
        <w:rPr>
          <w:rFonts w:ascii="Garamond" w:hAnsi="Garamond"/>
          <w:i/>
          <w:iCs/>
          <w:color w:val="000000" w:themeColor="text1"/>
        </w:rPr>
        <w:t>Le parc de logement par classe de performance énergétique au 1</w:t>
      </w:r>
      <w:r w:rsidRPr="00A76C93">
        <w:rPr>
          <w:rFonts w:ascii="Garamond" w:hAnsi="Garamond"/>
          <w:i/>
          <w:iCs/>
          <w:color w:val="000000" w:themeColor="text1"/>
          <w:vertAlign w:val="superscript"/>
        </w:rPr>
        <w:t>er</w:t>
      </w:r>
      <w:r w:rsidRPr="00A76C93">
        <w:rPr>
          <w:rFonts w:ascii="Garamond" w:hAnsi="Garamond"/>
          <w:i/>
          <w:iCs/>
          <w:color w:val="000000" w:themeColor="text1"/>
        </w:rPr>
        <w:t xml:space="preserve"> janvier 2022</w:t>
      </w:r>
      <w:r w:rsidRPr="00A76C93">
        <w:rPr>
          <w:rFonts w:ascii="Garamond" w:hAnsi="Garamond"/>
          <w:color w:val="000000" w:themeColor="text1"/>
        </w:rPr>
        <w:t>, juillet 2022, p. 9)</w:t>
      </w:r>
      <w:r w:rsidR="002A591D">
        <w:rPr>
          <w:rFonts w:ascii="Garamond" w:hAnsi="Garamond"/>
          <w:color w:val="000000" w:themeColor="text1"/>
        </w:rPr>
        <w:t xml:space="preserve">. </w:t>
      </w:r>
    </w:p>
    <w:p w14:paraId="1FCBACE8" w14:textId="77777777" w:rsidR="002A591D" w:rsidRPr="00A76C93" w:rsidRDefault="002A591D" w:rsidP="00A76C93">
      <w:pPr>
        <w:tabs>
          <w:tab w:val="left" w:pos="6440"/>
        </w:tabs>
        <w:spacing w:line="252" w:lineRule="auto"/>
        <w:jc w:val="both"/>
        <w:rPr>
          <w:rFonts w:ascii="Garamond" w:hAnsi="Garamond"/>
          <w:color w:val="000000" w:themeColor="text1"/>
        </w:rPr>
      </w:pPr>
    </w:p>
    <w:p w14:paraId="34ED5AD5" w14:textId="6C450A73"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En somme, aucune donnée accessible ne permet d</w:t>
      </w:r>
      <w:r w:rsidR="00F86CA7">
        <w:rPr>
          <w:rFonts w:ascii="Garamond" w:hAnsi="Garamond"/>
          <w:color w:val="000000" w:themeColor="text1"/>
        </w:rPr>
        <w:t>’</w:t>
      </w:r>
      <w:r w:rsidRPr="00A76C93">
        <w:rPr>
          <w:rFonts w:ascii="Garamond" w:hAnsi="Garamond"/>
          <w:color w:val="000000" w:themeColor="text1"/>
        </w:rPr>
        <w:t>établir une corrélation entre la diminution des émissions constatées</w:t>
      </w:r>
      <w:r w:rsidR="002A591D">
        <w:rPr>
          <w:rFonts w:ascii="Garamond" w:hAnsi="Garamond"/>
          <w:color w:val="000000" w:themeColor="text1"/>
        </w:rPr>
        <w:t xml:space="preserve">, en 2022, </w:t>
      </w:r>
      <w:r w:rsidRPr="00A76C93">
        <w:rPr>
          <w:rFonts w:ascii="Garamond" w:hAnsi="Garamond"/>
          <w:color w:val="000000" w:themeColor="text1"/>
        </w:rPr>
        <w:t>en matière de chauffage, d</w:t>
      </w:r>
      <w:r w:rsidR="00F86CA7">
        <w:rPr>
          <w:rFonts w:ascii="Garamond" w:hAnsi="Garamond"/>
          <w:color w:val="000000" w:themeColor="text1"/>
        </w:rPr>
        <w:t>’</w:t>
      </w:r>
      <w:r w:rsidRPr="00A76C93">
        <w:rPr>
          <w:rFonts w:ascii="Garamond" w:hAnsi="Garamond"/>
          <w:color w:val="000000" w:themeColor="text1"/>
        </w:rPr>
        <w:t>eau chaude sanitaire et de cuisson</w:t>
      </w:r>
      <w:r w:rsidR="002A591D">
        <w:rPr>
          <w:rFonts w:ascii="Garamond" w:hAnsi="Garamond"/>
          <w:color w:val="000000" w:themeColor="text1"/>
        </w:rPr>
        <w:t xml:space="preserve">, </w:t>
      </w:r>
      <w:r w:rsidRPr="00A76C93">
        <w:rPr>
          <w:rFonts w:ascii="Garamond" w:hAnsi="Garamond"/>
          <w:color w:val="000000" w:themeColor="text1"/>
        </w:rPr>
        <w:t>et les</w:t>
      </w:r>
      <w:r w:rsidR="002A591D">
        <w:rPr>
          <w:rFonts w:ascii="Garamond" w:hAnsi="Garamond"/>
          <w:color w:val="000000" w:themeColor="text1"/>
        </w:rPr>
        <w:t xml:space="preserve"> </w:t>
      </w:r>
      <w:r w:rsidRPr="00A76C93">
        <w:rPr>
          <w:rFonts w:ascii="Garamond" w:hAnsi="Garamond"/>
          <w:color w:val="000000" w:themeColor="text1"/>
        </w:rPr>
        <w:t xml:space="preserve">politiques publiques spécialement pensées pour parvenir à </w:t>
      </w:r>
      <w:r w:rsidR="002A591D">
        <w:rPr>
          <w:rFonts w:ascii="Garamond" w:hAnsi="Garamond"/>
          <w:color w:val="000000" w:themeColor="text1"/>
        </w:rPr>
        <w:t>ce</w:t>
      </w:r>
      <w:r w:rsidRPr="00A76C93">
        <w:rPr>
          <w:rFonts w:ascii="Garamond" w:hAnsi="Garamond"/>
          <w:color w:val="000000" w:themeColor="text1"/>
        </w:rPr>
        <w:t xml:space="preserve"> résultat.</w:t>
      </w:r>
    </w:p>
    <w:p w14:paraId="193A5250" w14:textId="77777777" w:rsidR="002A591D" w:rsidRPr="00A76C93" w:rsidRDefault="002A591D" w:rsidP="002A591D">
      <w:pPr>
        <w:tabs>
          <w:tab w:val="left" w:pos="6440"/>
        </w:tabs>
        <w:spacing w:line="252" w:lineRule="auto"/>
        <w:jc w:val="both"/>
        <w:rPr>
          <w:rFonts w:ascii="Garamond" w:hAnsi="Garamond"/>
          <w:color w:val="000000" w:themeColor="text1"/>
        </w:rPr>
      </w:pPr>
    </w:p>
    <w:p w14:paraId="6D749609" w14:textId="77777777" w:rsidR="002A591D" w:rsidRPr="00F52A38" w:rsidRDefault="002A591D" w:rsidP="002A591D">
      <w:pPr>
        <w:numPr>
          <w:ilvl w:val="0"/>
          <w:numId w:val="1"/>
        </w:numPr>
        <w:spacing w:line="252" w:lineRule="auto"/>
        <w:ind w:left="0" w:firstLine="0"/>
        <w:jc w:val="both"/>
        <w:rPr>
          <w:rFonts w:ascii="Garamond" w:hAnsi="Garamond"/>
          <w:color w:val="000000" w:themeColor="text1"/>
        </w:rPr>
      </w:pPr>
    </w:p>
    <w:p w14:paraId="10C26F94" w14:textId="77777777" w:rsidR="00A76C93" w:rsidRPr="00A76C93" w:rsidRDefault="00A76C93" w:rsidP="00A76C93">
      <w:pPr>
        <w:tabs>
          <w:tab w:val="left" w:pos="6440"/>
        </w:tabs>
        <w:spacing w:line="252" w:lineRule="auto"/>
        <w:jc w:val="both"/>
        <w:rPr>
          <w:rFonts w:ascii="Garamond" w:hAnsi="Garamond"/>
          <w:color w:val="000000" w:themeColor="text1"/>
        </w:rPr>
      </w:pPr>
    </w:p>
    <w:p w14:paraId="0E3F3E36" w14:textId="3771E277"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Enfin, c</w:t>
      </w:r>
      <w:r w:rsidR="00A76C93" w:rsidRPr="00A76C93">
        <w:rPr>
          <w:rFonts w:ascii="Garamond" w:hAnsi="Garamond"/>
          <w:color w:val="000000" w:themeColor="text1"/>
        </w:rPr>
        <w:t>e constat demeure inchangé en dépit de l</w:t>
      </w:r>
      <w:r w:rsidR="00F86CA7">
        <w:rPr>
          <w:rFonts w:ascii="Garamond" w:hAnsi="Garamond"/>
          <w:color w:val="000000" w:themeColor="text1"/>
        </w:rPr>
        <w:t>’</w:t>
      </w:r>
      <w:r w:rsidR="00A76C93" w:rsidRPr="00A76C93">
        <w:rPr>
          <w:rFonts w:ascii="Garamond" w:hAnsi="Garamond"/>
          <w:color w:val="000000" w:themeColor="text1"/>
        </w:rPr>
        <w:t>adoption d</w:t>
      </w:r>
      <w:r w:rsidR="00F86CA7">
        <w:rPr>
          <w:rFonts w:ascii="Garamond" w:hAnsi="Garamond"/>
          <w:color w:val="000000" w:themeColor="text1"/>
        </w:rPr>
        <w:t>’</w:t>
      </w:r>
      <w:r w:rsidR="00A76C93" w:rsidRPr="00A76C93">
        <w:rPr>
          <w:rFonts w:ascii="Garamond" w:hAnsi="Garamond"/>
          <w:color w:val="000000" w:themeColor="text1"/>
        </w:rPr>
        <w:t xml:space="preserve">un plan de sobriété énergétique par le Gouvernement, le 6 octobre 2022. </w:t>
      </w:r>
    </w:p>
    <w:p w14:paraId="2B424EFF" w14:textId="77777777" w:rsidR="00A76C93" w:rsidRPr="00A76C93" w:rsidRDefault="00A76C93" w:rsidP="00A76C93">
      <w:pPr>
        <w:tabs>
          <w:tab w:val="left" w:pos="6440"/>
        </w:tabs>
        <w:spacing w:line="252" w:lineRule="auto"/>
        <w:jc w:val="both"/>
        <w:rPr>
          <w:rFonts w:ascii="Garamond" w:hAnsi="Garamond"/>
          <w:color w:val="000000" w:themeColor="text1"/>
        </w:rPr>
      </w:pPr>
    </w:p>
    <w:p w14:paraId="29DD5B03" w14:textId="7CA5134F"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particulier,</w:t>
      </w:r>
      <w:r w:rsidR="00A76C93" w:rsidRPr="00A76C93">
        <w:rPr>
          <w:rFonts w:ascii="Garamond" w:hAnsi="Garamond"/>
          <w:color w:val="000000" w:themeColor="text1"/>
        </w:rPr>
        <w:t xml:space="preserve"> l</w:t>
      </w:r>
      <w:r w:rsidR="00F86CA7">
        <w:rPr>
          <w:rFonts w:ascii="Garamond" w:hAnsi="Garamond"/>
          <w:color w:val="000000" w:themeColor="text1"/>
        </w:rPr>
        <w:t>’</w:t>
      </w:r>
      <w:r w:rsidR="00A76C93" w:rsidRPr="00A76C93">
        <w:rPr>
          <w:rFonts w:ascii="Garamond" w:hAnsi="Garamond"/>
          <w:color w:val="000000" w:themeColor="text1"/>
        </w:rPr>
        <w:t xml:space="preserve">adoption tardive </w:t>
      </w:r>
      <w:r>
        <w:rPr>
          <w:rFonts w:ascii="Garamond" w:hAnsi="Garamond"/>
          <w:color w:val="000000" w:themeColor="text1"/>
        </w:rPr>
        <w:t>de ce plan</w:t>
      </w:r>
      <w:r w:rsidR="00A76C93" w:rsidRPr="00A76C93">
        <w:rPr>
          <w:rFonts w:ascii="Garamond" w:hAnsi="Garamond"/>
          <w:color w:val="000000" w:themeColor="text1"/>
        </w:rPr>
        <w:t xml:space="preserve"> conduit </w:t>
      </w:r>
      <w:r w:rsidR="00A76C93" w:rsidRPr="00A76C93">
        <w:rPr>
          <w:rFonts w:ascii="Garamond" w:hAnsi="Garamond"/>
          <w:i/>
          <w:iCs/>
          <w:color w:val="000000" w:themeColor="text1"/>
        </w:rPr>
        <w:t>de facto</w:t>
      </w:r>
      <w:r w:rsidR="00A76C93" w:rsidRPr="00A76C93">
        <w:rPr>
          <w:rFonts w:ascii="Garamond" w:hAnsi="Garamond"/>
          <w:color w:val="000000" w:themeColor="text1"/>
        </w:rPr>
        <w:t xml:space="preserve"> à limiter son influence sur la baisse des émissions constatées jusqu</w:t>
      </w:r>
      <w:r w:rsidR="00F86CA7">
        <w:rPr>
          <w:rFonts w:ascii="Garamond" w:hAnsi="Garamond"/>
          <w:color w:val="000000" w:themeColor="text1"/>
        </w:rPr>
        <w:t>’</w:t>
      </w:r>
      <w:r w:rsidR="00A76C93" w:rsidRPr="00A76C93">
        <w:rPr>
          <w:rFonts w:ascii="Garamond" w:hAnsi="Garamond"/>
          <w:color w:val="000000" w:themeColor="text1"/>
        </w:rPr>
        <w:t>au 31 décembre 2022</w:t>
      </w:r>
      <w:r>
        <w:rPr>
          <w:rFonts w:ascii="Garamond" w:hAnsi="Garamond"/>
          <w:color w:val="000000" w:themeColor="text1"/>
        </w:rPr>
        <w:t xml:space="preserve"> – échéance fixée par le Tribunal administratif de Paris pour la réparation du préjudice écologique lié au surplus d</w:t>
      </w:r>
      <w:r w:rsidR="00F86CA7">
        <w:rPr>
          <w:rFonts w:ascii="Garamond" w:hAnsi="Garamond"/>
          <w:color w:val="000000" w:themeColor="text1"/>
        </w:rPr>
        <w:t>’</w:t>
      </w:r>
      <w:r>
        <w:rPr>
          <w:rFonts w:ascii="Garamond" w:hAnsi="Garamond"/>
          <w:color w:val="000000" w:themeColor="text1"/>
        </w:rPr>
        <w:t xml:space="preserve">émissions résultant du dépassement du premier budget carbone. </w:t>
      </w:r>
    </w:p>
    <w:p w14:paraId="2BF95BC8" w14:textId="77777777" w:rsidR="00A76C93" w:rsidRPr="00A76C93" w:rsidRDefault="00A76C93" w:rsidP="00A76C93">
      <w:pPr>
        <w:tabs>
          <w:tab w:val="left" w:pos="6440"/>
        </w:tabs>
        <w:spacing w:line="252" w:lineRule="auto"/>
        <w:jc w:val="both"/>
        <w:rPr>
          <w:rFonts w:ascii="Garamond" w:hAnsi="Garamond"/>
          <w:color w:val="000000" w:themeColor="text1"/>
        </w:rPr>
      </w:pPr>
    </w:p>
    <w:p w14:paraId="1842CB65" w14:textId="090D514F"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Surtout, si </w:t>
      </w:r>
      <w:r w:rsidR="002A591D">
        <w:rPr>
          <w:rFonts w:ascii="Garamond" w:hAnsi="Garamond"/>
          <w:color w:val="000000" w:themeColor="text1"/>
        </w:rPr>
        <w:t>c</w:t>
      </w:r>
      <w:r w:rsidRPr="00A76C93">
        <w:rPr>
          <w:rFonts w:ascii="Garamond" w:hAnsi="Garamond"/>
          <w:color w:val="000000" w:themeColor="text1"/>
        </w:rPr>
        <w:t xml:space="preserve">e plan énonce un ensemble de mesures visant à diminuer la consommation énergétique des bâtiments, et spécifiquement la production de chauffage et </w:t>
      </w:r>
      <w:r w:rsidR="002A591D">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 xml:space="preserve">eau chaude sanitaire, le poids de ces mesures dans la réalisation des baisses constatées </w:t>
      </w:r>
      <w:r w:rsidR="002A591D">
        <w:rPr>
          <w:rFonts w:ascii="Garamond" w:hAnsi="Garamond"/>
          <w:color w:val="000000" w:themeColor="text1"/>
        </w:rPr>
        <w:t>n</w:t>
      </w:r>
      <w:r w:rsidR="00F86CA7">
        <w:rPr>
          <w:rFonts w:ascii="Garamond" w:hAnsi="Garamond"/>
          <w:color w:val="000000" w:themeColor="text1"/>
        </w:rPr>
        <w:t>’</w:t>
      </w:r>
      <w:r w:rsidR="002A591D">
        <w:rPr>
          <w:rFonts w:ascii="Garamond" w:hAnsi="Garamond"/>
          <w:color w:val="000000" w:themeColor="text1"/>
        </w:rPr>
        <w:t>apparaît pas</w:t>
      </w:r>
      <w:r w:rsidRPr="00A76C93">
        <w:rPr>
          <w:rFonts w:ascii="Garamond" w:hAnsi="Garamond"/>
          <w:color w:val="000000" w:themeColor="text1"/>
        </w:rPr>
        <w:t xml:space="preserve"> déterminant. </w:t>
      </w:r>
    </w:p>
    <w:p w14:paraId="55819CF5" w14:textId="77777777" w:rsidR="00A76C93" w:rsidRPr="00A76C93" w:rsidRDefault="00A76C93" w:rsidP="00A76C93">
      <w:pPr>
        <w:tabs>
          <w:tab w:val="left" w:pos="6440"/>
        </w:tabs>
        <w:spacing w:line="252" w:lineRule="auto"/>
        <w:jc w:val="both"/>
        <w:rPr>
          <w:rFonts w:ascii="Garamond" w:hAnsi="Garamond"/>
          <w:color w:val="000000" w:themeColor="text1"/>
        </w:rPr>
      </w:pPr>
    </w:p>
    <w:p w14:paraId="686F56D7" w14:textId="71E1EF92"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Et pour cause : </w:t>
      </w:r>
      <w:r w:rsidR="002A591D">
        <w:rPr>
          <w:rFonts w:ascii="Garamond" w:hAnsi="Garamond"/>
          <w:color w:val="000000" w:themeColor="text1"/>
        </w:rPr>
        <w:t xml:space="preserve">outre que </w:t>
      </w:r>
      <w:r w:rsidRPr="00A76C93">
        <w:rPr>
          <w:rFonts w:ascii="Garamond" w:hAnsi="Garamond"/>
          <w:color w:val="000000" w:themeColor="text1"/>
        </w:rPr>
        <w:t>la plupart de ces mesures sont incitatives, d</w:t>
      </w:r>
      <w:r w:rsidR="00F86CA7">
        <w:rPr>
          <w:rFonts w:ascii="Garamond" w:hAnsi="Garamond"/>
          <w:color w:val="000000" w:themeColor="text1"/>
        </w:rPr>
        <w:t>’</w:t>
      </w:r>
      <w:r w:rsidRPr="00A76C93">
        <w:rPr>
          <w:rFonts w:ascii="Garamond" w:hAnsi="Garamond"/>
          <w:color w:val="000000" w:themeColor="text1"/>
        </w:rPr>
        <w:t>autres</w:t>
      </w:r>
      <w:r w:rsidR="002A591D">
        <w:rPr>
          <w:rFonts w:ascii="Garamond" w:hAnsi="Garamond"/>
          <w:color w:val="000000" w:themeColor="text1"/>
        </w:rPr>
        <w:t xml:space="preserve">, </w:t>
      </w:r>
      <w:r w:rsidRPr="00A76C93">
        <w:rPr>
          <w:rFonts w:ascii="Garamond" w:hAnsi="Garamond"/>
          <w:color w:val="000000" w:themeColor="text1"/>
        </w:rPr>
        <w:t>adoptées tardivement</w:t>
      </w:r>
      <w:r w:rsidR="002A591D">
        <w:rPr>
          <w:rFonts w:ascii="Garamond" w:hAnsi="Garamond"/>
          <w:color w:val="000000" w:themeColor="text1"/>
        </w:rPr>
        <w:t>,</w:t>
      </w:r>
      <w:r w:rsidRPr="00A76C93">
        <w:rPr>
          <w:rFonts w:ascii="Garamond" w:hAnsi="Garamond"/>
          <w:color w:val="000000" w:themeColor="text1"/>
        </w:rPr>
        <w:t xml:space="preserve"> n</w:t>
      </w:r>
      <w:r w:rsidR="00F86CA7">
        <w:rPr>
          <w:rFonts w:ascii="Garamond" w:hAnsi="Garamond"/>
          <w:color w:val="000000" w:themeColor="text1"/>
        </w:rPr>
        <w:t>’</w:t>
      </w:r>
      <w:r w:rsidRPr="00A76C93">
        <w:rPr>
          <w:rFonts w:ascii="Garamond" w:hAnsi="Garamond"/>
          <w:color w:val="000000" w:themeColor="text1"/>
        </w:rPr>
        <w:t xml:space="preserve">ont pas </w:t>
      </w:r>
      <w:r w:rsidR="002A591D">
        <w:rPr>
          <w:rFonts w:ascii="Garamond" w:hAnsi="Garamond"/>
          <w:color w:val="000000" w:themeColor="text1"/>
        </w:rPr>
        <w:t>de</w:t>
      </w:r>
      <w:r w:rsidRPr="00A76C93">
        <w:rPr>
          <w:rFonts w:ascii="Garamond" w:hAnsi="Garamond"/>
          <w:color w:val="000000" w:themeColor="text1"/>
        </w:rPr>
        <w:t xml:space="preserve"> portée structurelle, et certaines visent des actions structurelles dont les effets ne pourront se concrétiser que dans un délai plus long. </w:t>
      </w:r>
    </w:p>
    <w:p w14:paraId="12636F45" w14:textId="77777777" w:rsidR="00A76C93" w:rsidRPr="00A76C93" w:rsidRDefault="00A76C93" w:rsidP="00A76C93">
      <w:pPr>
        <w:tabs>
          <w:tab w:val="left" w:pos="6440"/>
        </w:tabs>
        <w:spacing w:line="252" w:lineRule="auto"/>
        <w:jc w:val="both"/>
        <w:rPr>
          <w:rFonts w:ascii="Garamond" w:hAnsi="Garamond"/>
          <w:color w:val="000000" w:themeColor="text1"/>
        </w:rPr>
      </w:pPr>
    </w:p>
    <w:p w14:paraId="4C05FB40" w14:textId="37A693F5" w:rsidR="002A591D"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outre, s</w:t>
      </w:r>
      <w:r w:rsidR="00F86CA7">
        <w:rPr>
          <w:rFonts w:ascii="Garamond" w:hAnsi="Garamond"/>
          <w:color w:val="000000" w:themeColor="text1"/>
        </w:rPr>
        <w:t>’</w:t>
      </w:r>
      <w:r w:rsidR="00A76C93" w:rsidRPr="00A76C93">
        <w:rPr>
          <w:rFonts w:ascii="Garamond" w:hAnsi="Garamond"/>
          <w:color w:val="000000" w:themeColor="text1"/>
        </w:rPr>
        <w:t>agissant des mesures incitatives</w:t>
      </w:r>
      <w:r>
        <w:rPr>
          <w:rFonts w:ascii="Garamond" w:hAnsi="Garamond"/>
          <w:color w:val="000000" w:themeColor="text1"/>
        </w:rPr>
        <w:t xml:space="preserve"> – qui portaient, par exemple, sur la</w:t>
      </w:r>
      <w:r w:rsidR="00A76C93" w:rsidRPr="00A76C93">
        <w:rPr>
          <w:rFonts w:ascii="Garamond" w:hAnsi="Garamond"/>
          <w:color w:val="000000" w:themeColor="text1"/>
        </w:rPr>
        <w:t xml:space="preserve"> baisse de la température de chauffe dans les bureaux et </w:t>
      </w:r>
      <w:r>
        <w:rPr>
          <w:rFonts w:ascii="Garamond" w:hAnsi="Garamond"/>
          <w:color w:val="000000" w:themeColor="text1"/>
        </w:rPr>
        <w:t>l</w:t>
      </w:r>
      <w:r w:rsidR="00A76C93" w:rsidRPr="00A76C93">
        <w:rPr>
          <w:rFonts w:ascii="Garamond" w:hAnsi="Garamond"/>
          <w:color w:val="000000" w:themeColor="text1"/>
        </w:rPr>
        <w:t xml:space="preserve">es logements, </w:t>
      </w:r>
      <w:r>
        <w:rPr>
          <w:rFonts w:ascii="Garamond" w:hAnsi="Garamond"/>
          <w:color w:val="000000" w:themeColor="text1"/>
        </w:rPr>
        <w:t>le décalage</w:t>
      </w:r>
      <w:r w:rsidR="00A76C93" w:rsidRPr="00A76C93">
        <w:rPr>
          <w:rFonts w:ascii="Garamond" w:hAnsi="Garamond"/>
          <w:color w:val="000000" w:themeColor="text1"/>
        </w:rPr>
        <w:t xml:space="preserve"> de la période de chauffe, la réduction de l</w:t>
      </w:r>
      <w:r w:rsidR="00F86CA7">
        <w:rPr>
          <w:rFonts w:ascii="Garamond" w:hAnsi="Garamond"/>
          <w:color w:val="000000" w:themeColor="text1"/>
        </w:rPr>
        <w:t>’</w:t>
      </w:r>
      <w:r w:rsidR="00A76C93" w:rsidRPr="00A76C93">
        <w:rPr>
          <w:rFonts w:ascii="Garamond" w:hAnsi="Garamond"/>
          <w:color w:val="000000" w:themeColor="text1"/>
        </w:rPr>
        <w:t>utilisation de l</w:t>
      </w:r>
      <w:r w:rsidR="00F86CA7">
        <w:rPr>
          <w:rFonts w:ascii="Garamond" w:hAnsi="Garamond"/>
          <w:color w:val="000000" w:themeColor="text1"/>
        </w:rPr>
        <w:t>’</w:t>
      </w:r>
      <w:r w:rsidR="00A76C93" w:rsidRPr="00A76C93">
        <w:rPr>
          <w:rFonts w:ascii="Garamond" w:hAnsi="Garamond"/>
          <w:color w:val="000000" w:themeColor="text1"/>
        </w:rPr>
        <w:t>eau chaude sanitaire dans les bureaux, le réglage de la température des ballons d</w:t>
      </w:r>
      <w:r w:rsidR="00F86CA7">
        <w:rPr>
          <w:rFonts w:ascii="Garamond" w:hAnsi="Garamond"/>
          <w:color w:val="000000" w:themeColor="text1"/>
        </w:rPr>
        <w:t>’</w:t>
      </w:r>
      <w:r w:rsidR="00A76C93" w:rsidRPr="00A76C93">
        <w:rPr>
          <w:rFonts w:ascii="Garamond" w:hAnsi="Garamond"/>
          <w:color w:val="000000" w:themeColor="text1"/>
        </w:rPr>
        <w:t>eau chaude à 55°C ou la maintenance des appareils de chauffe</w:t>
      </w:r>
      <w:r>
        <w:rPr>
          <w:rFonts w:ascii="Garamond" w:hAnsi="Garamond"/>
          <w:color w:val="000000" w:themeColor="text1"/>
        </w:rPr>
        <w:t xml:space="preserve"> – force est de constater que les dispositifs adoptés pour les concrétiser – et, notamment, </w:t>
      </w:r>
      <w:r w:rsidRPr="00A76C93">
        <w:rPr>
          <w:rFonts w:ascii="Garamond" w:hAnsi="Garamond"/>
          <w:color w:val="000000" w:themeColor="text1"/>
        </w:rPr>
        <w:t xml:space="preserve">la </w:t>
      </w:r>
      <w:r>
        <w:rPr>
          <w:rFonts w:ascii="Garamond" w:hAnsi="Garamond"/>
          <w:color w:val="000000" w:themeColor="text1"/>
        </w:rPr>
        <w:t>c</w:t>
      </w:r>
      <w:r w:rsidRPr="00A76C93">
        <w:rPr>
          <w:rFonts w:ascii="Garamond" w:hAnsi="Garamond"/>
          <w:color w:val="000000" w:themeColor="text1"/>
        </w:rPr>
        <w:t>irculaire n°</w:t>
      </w:r>
      <w:r>
        <w:rPr>
          <w:rFonts w:ascii="Garamond" w:hAnsi="Garamond"/>
          <w:color w:val="000000" w:themeColor="text1"/>
        </w:rPr>
        <w:t> </w:t>
      </w:r>
      <w:r w:rsidRPr="00A76C93">
        <w:rPr>
          <w:rFonts w:ascii="Garamond" w:hAnsi="Garamond"/>
          <w:color w:val="000000" w:themeColor="text1"/>
        </w:rPr>
        <w:t>6343-SG du 13 avril 2022 relative à l</w:t>
      </w:r>
      <w:r w:rsidR="00F86CA7">
        <w:rPr>
          <w:rFonts w:ascii="Garamond" w:hAnsi="Garamond"/>
          <w:color w:val="000000" w:themeColor="text1"/>
        </w:rPr>
        <w:t>’</w:t>
      </w:r>
      <w:r w:rsidRPr="00A76C93">
        <w:rPr>
          <w:rFonts w:ascii="Garamond" w:hAnsi="Garamond"/>
          <w:color w:val="000000" w:themeColor="text1"/>
        </w:rPr>
        <w:t>ajustement des conditions de chauffage des bâtiments de l</w:t>
      </w:r>
      <w:r w:rsidR="00F86CA7">
        <w:rPr>
          <w:rFonts w:ascii="Garamond" w:hAnsi="Garamond"/>
          <w:color w:val="000000" w:themeColor="text1"/>
        </w:rPr>
        <w:t>’</w:t>
      </w:r>
      <w:r w:rsidRPr="00A76C93">
        <w:rPr>
          <w:rFonts w:ascii="Garamond" w:hAnsi="Garamond"/>
          <w:color w:val="000000" w:themeColor="text1"/>
        </w:rPr>
        <w:t xml:space="preserve">État, de ses opérateurs et </w:t>
      </w:r>
      <w:r>
        <w:rPr>
          <w:rFonts w:ascii="Garamond" w:hAnsi="Garamond"/>
          <w:color w:val="000000" w:themeColor="text1"/>
        </w:rPr>
        <w:t>à l</w:t>
      </w:r>
      <w:r w:rsidR="00F86CA7">
        <w:rPr>
          <w:rFonts w:ascii="Garamond" w:hAnsi="Garamond"/>
          <w:color w:val="000000" w:themeColor="text1"/>
        </w:rPr>
        <w:t>’</w:t>
      </w:r>
      <w:r w:rsidRPr="00A76C93">
        <w:rPr>
          <w:rFonts w:ascii="Garamond" w:hAnsi="Garamond"/>
          <w:color w:val="000000" w:themeColor="text1"/>
        </w:rPr>
        <w:t>accompagnement des projets en cours permettant des réductions de consommation de gaz</w:t>
      </w:r>
      <w:r>
        <w:rPr>
          <w:rFonts w:ascii="Garamond" w:hAnsi="Garamond"/>
          <w:color w:val="000000" w:themeColor="text1"/>
        </w:rPr>
        <w:t>,</w:t>
      </w:r>
      <w:r w:rsidRPr="00A76C93">
        <w:rPr>
          <w:rFonts w:ascii="Garamond" w:hAnsi="Garamond"/>
          <w:color w:val="000000" w:themeColor="text1"/>
        </w:rPr>
        <w:t xml:space="preserve"> et le décret n°</w:t>
      </w:r>
      <w:r>
        <w:rPr>
          <w:rFonts w:ascii="Garamond" w:hAnsi="Garamond"/>
          <w:color w:val="000000" w:themeColor="text1"/>
        </w:rPr>
        <w:t> </w:t>
      </w:r>
      <w:r w:rsidRPr="00A76C93">
        <w:rPr>
          <w:rFonts w:ascii="Garamond" w:hAnsi="Garamond"/>
          <w:color w:val="000000" w:themeColor="text1"/>
        </w:rPr>
        <w:t>2023-310 du 24 avril 2023 relatif à la faculté de déroger jusqu</w:t>
      </w:r>
      <w:r w:rsidR="00F86CA7">
        <w:rPr>
          <w:rFonts w:ascii="Garamond" w:hAnsi="Garamond"/>
          <w:color w:val="000000" w:themeColor="text1"/>
        </w:rPr>
        <w:t>’</w:t>
      </w:r>
      <w:r w:rsidRPr="00A76C93">
        <w:rPr>
          <w:rFonts w:ascii="Garamond" w:hAnsi="Garamond"/>
          <w:color w:val="000000" w:themeColor="text1"/>
        </w:rPr>
        <w:t>au 30 juin 2024 à l</w:t>
      </w:r>
      <w:r w:rsidR="00F86CA7">
        <w:rPr>
          <w:rFonts w:ascii="Garamond" w:hAnsi="Garamond"/>
          <w:color w:val="000000" w:themeColor="text1"/>
        </w:rPr>
        <w:t>’</w:t>
      </w:r>
      <w:r w:rsidRPr="00A76C93">
        <w:rPr>
          <w:rFonts w:ascii="Garamond" w:hAnsi="Garamond"/>
          <w:color w:val="000000" w:themeColor="text1"/>
        </w:rPr>
        <w:t>obligation de mettre à disposition des travailleurs de l</w:t>
      </w:r>
      <w:r w:rsidR="00F86CA7">
        <w:rPr>
          <w:rFonts w:ascii="Garamond" w:hAnsi="Garamond"/>
          <w:color w:val="000000" w:themeColor="text1"/>
        </w:rPr>
        <w:t>’</w:t>
      </w:r>
      <w:r w:rsidRPr="00A76C93">
        <w:rPr>
          <w:rFonts w:ascii="Garamond" w:hAnsi="Garamond"/>
          <w:color w:val="000000" w:themeColor="text1"/>
        </w:rPr>
        <w:t>eau à température réglable sur les lieux de travail</w:t>
      </w:r>
      <w:r>
        <w:rPr>
          <w:rFonts w:ascii="Garamond" w:hAnsi="Garamond"/>
          <w:color w:val="000000" w:themeColor="text1"/>
        </w:rPr>
        <w:t xml:space="preserve"> – renvoyaient, pour l</w:t>
      </w:r>
      <w:r w:rsidR="00F86CA7">
        <w:rPr>
          <w:rFonts w:ascii="Garamond" w:hAnsi="Garamond"/>
          <w:color w:val="000000" w:themeColor="text1"/>
        </w:rPr>
        <w:t>’</w:t>
      </w:r>
      <w:r>
        <w:rPr>
          <w:rFonts w:ascii="Garamond" w:hAnsi="Garamond"/>
          <w:color w:val="000000" w:themeColor="text1"/>
        </w:rPr>
        <w:t xml:space="preserve">essentiel, aux individus le soin de se mobiliser pour réduire leurs consommations. </w:t>
      </w:r>
    </w:p>
    <w:p w14:paraId="2A1AA035" w14:textId="77777777" w:rsidR="002A591D" w:rsidRDefault="002A591D" w:rsidP="00A76C93">
      <w:pPr>
        <w:tabs>
          <w:tab w:val="left" w:pos="6440"/>
        </w:tabs>
        <w:spacing w:line="252" w:lineRule="auto"/>
        <w:jc w:val="both"/>
        <w:rPr>
          <w:rFonts w:ascii="Garamond" w:hAnsi="Garamond"/>
          <w:color w:val="000000" w:themeColor="text1"/>
        </w:rPr>
      </w:pPr>
    </w:p>
    <w:p w14:paraId="67A3D015" w14:textId="58E19B5B"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lastRenderedPageBreak/>
        <w:t xml:space="preserve">Or, </w:t>
      </w:r>
      <w:r w:rsidR="002A591D">
        <w:rPr>
          <w:rFonts w:ascii="Garamond" w:hAnsi="Garamond"/>
          <w:color w:val="000000" w:themeColor="text1"/>
        </w:rPr>
        <w:t>comme l</w:t>
      </w:r>
      <w:r w:rsidR="00F86CA7">
        <w:rPr>
          <w:rFonts w:ascii="Garamond" w:hAnsi="Garamond"/>
          <w:color w:val="000000" w:themeColor="text1"/>
        </w:rPr>
        <w:t>’</w:t>
      </w:r>
      <w:r w:rsidR="002A591D">
        <w:rPr>
          <w:rFonts w:ascii="Garamond" w:hAnsi="Garamond"/>
          <w:color w:val="000000" w:themeColor="text1"/>
        </w:rPr>
        <w:t xml:space="preserve">indiquait </w:t>
      </w:r>
      <w:r w:rsidRPr="00A76C93">
        <w:rPr>
          <w:rFonts w:ascii="Garamond" w:hAnsi="Garamond"/>
          <w:color w:val="000000" w:themeColor="text1"/>
        </w:rPr>
        <w:t>Magali R</w:t>
      </w:r>
      <w:r w:rsidR="002A591D">
        <w:rPr>
          <w:rFonts w:ascii="Garamond" w:hAnsi="Garamond"/>
          <w:color w:val="000000" w:themeColor="text1"/>
        </w:rPr>
        <w:t xml:space="preserve">EGHEZZA-ZITT, </w:t>
      </w:r>
      <w:r w:rsidRPr="00A76C93">
        <w:rPr>
          <w:rFonts w:ascii="Garamond" w:hAnsi="Garamond"/>
          <w:color w:val="000000" w:themeColor="text1"/>
        </w:rPr>
        <w:t>membre du Haut Conseil pour le Climat, les appels</w:t>
      </w:r>
      <w:r w:rsidR="002A591D">
        <w:rPr>
          <w:rFonts w:ascii="Garamond" w:hAnsi="Garamond"/>
          <w:color w:val="000000" w:themeColor="text1"/>
        </w:rPr>
        <w:t xml:space="preserve"> incitatifs</w:t>
      </w:r>
      <w:r w:rsidRPr="00A76C93">
        <w:rPr>
          <w:rFonts w:ascii="Garamond" w:hAnsi="Garamond"/>
          <w:color w:val="000000" w:themeColor="text1"/>
        </w:rPr>
        <w:t xml:space="preserve"> à la sobriété ne saurait être </w:t>
      </w:r>
      <w:r w:rsidR="002A591D">
        <w:rPr>
          <w:rFonts w:ascii="Garamond" w:hAnsi="Garamond"/>
          <w:color w:val="000000" w:themeColor="text1"/>
        </w:rPr>
        <w:t>assimilés à</w:t>
      </w:r>
      <w:r w:rsidRPr="00A76C93">
        <w:rPr>
          <w:rFonts w:ascii="Garamond" w:hAnsi="Garamond"/>
          <w:color w:val="000000" w:themeColor="text1"/>
        </w:rPr>
        <w:t xml:space="preserve"> la mise en œuvre d</w:t>
      </w:r>
      <w:r w:rsidR="00F86CA7">
        <w:rPr>
          <w:rFonts w:ascii="Garamond" w:hAnsi="Garamond"/>
          <w:color w:val="000000" w:themeColor="text1"/>
        </w:rPr>
        <w:t>’</w:t>
      </w:r>
      <w:r w:rsidRPr="00A76C93">
        <w:rPr>
          <w:rFonts w:ascii="Garamond" w:hAnsi="Garamond"/>
          <w:color w:val="000000" w:themeColor="text1"/>
        </w:rPr>
        <w:t>une</w:t>
      </w:r>
      <w:r w:rsidR="002A591D">
        <w:rPr>
          <w:rFonts w:ascii="Garamond" w:hAnsi="Garamond"/>
          <w:color w:val="000000" w:themeColor="text1"/>
        </w:rPr>
        <w:t xml:space="preserve"> véritable</w:t>
      </w:r>
      <w:r w:rsidRPr="00A76C93">
        <w:rPr>
          <w:rFonts w:ascii="Garamond" w:hAnsi="Garamond"/>
          <w:color w:val="000000" w:themeColor="text1"/>
        </w:rPr>
        <w:t xml:space="preserve"> action de l</w:t>
      </w:r>
      <w:r w:rsidR="00F86CA7">
        <w:rPr>
          <w:rFonts w:ascii="Garamond" w:hAnsi="Garamond"/>
          <w:color w:val="000000" w:themeColor="text1"/>
        </w:rPr>
        <w:t>’</w:t>
      </w:r>
      <w:r w:rsidRPr="00A76C93">
        <w:rPr>
          <w:rFonts w:ascii="Garamond" w:hAnsi="Garamond"/>
          <w:color w:val="000000" w:themeColor="text1"/>
        </w:rPr>
        <w:t>État et posent</w:t>
      </w:r>
      <w:r w:rsidR="002A591D">
        <w:rPr>
          <w:rFonts w:ascii="Garamond" w:hAnsi="Garamond"/>
          <w:color w:val="000000" w:themeColor="text1"/>
        </w:rPr>
        <w:t>,</w:t>
      </w:r>
      <w:r w:rsidRPr="00A76C93">
        <w:rPr>
          <w:rFonts w:ascii="Garamond" w:hAnsi="Garamond"/>
          <w:color w:val="000000" w:themeColor="text1"/>
        </w:rPr>
        <w:t xml:space="preserve"> dès lors</w:t>
      </w:r>
      <w:r w:rsidR="002A591D">
        <w:rPr>
          <w:rFonts w:ascii="Garamond" w:hAnsi="Garamond"/>
          <w:color w:val="000000" w:themeColor="text1"/>
        </w:rPr>
        <w:t>,</w:t>
      </w:r>
      <w:r w:rsidRPr="00A76C93">
        <w:rPr>
          <w:rFonts w:ascii="Garamond" w:hAnsi="Garamond"/>
          <w:color w:val="000000" w:themeColor="text1"/>
        </w:rPr>
        <w:t xml:space="preserve"> des difficultés dans la mise en œuvre d</w:t>
      </w:r>
      <w:r w:rsidR="00F86CA7">
        <w:rPr>
          <w:rFonts w:ascii="Garamond" w:hAnsi="Garamond"/>
          <w:color w:val="000000" w:themeColor="text1"/>
        </w:rPr>
        <w:t>’</w:t>
      </w:r>
      <w:r w:rsidRPr="00A76C93">
        <w:rPr>
          <w:rFonts w:ascii="Garamond" w:hAnsi="Garamond"/>
          <w:color w:val="000000" w:themeColor="text1"/>
        </w:rPr>
        <w:t>une transition équitable</w:t>
      </w:r>
      <w:r w:rsidR="002A591D">
        <w:rPr>
          <w:rFonts w:ascii="Garamond" w:hAnsi="Garamond"/>
          <w:color w:val="000000" w:themeColor="text1"/>
        </w:rPr>
        <w:t xml:space="preserve">. En ce sens, elle relevait que : </w:t>
      </w:r>
    </w:p>
    <w:p w14:paraId="12729983" w14:textId="77777777" w:rsidR="00A76C93" w:rsidRPr="00A76C93" w:rsidRDefault="00A76C93" w:rsidP="00A76C93">
      <w:pPr>
        <w:tabs>
          <w:tab w:val="left" w:pos="6440"/>
        </w:tabs>
        <w:spacing w:line="252" w:lineRule="auto"/>
        <w:jc w:val="both"/>
        <w:rPr>
          <w:rFonts w:ascii="Garamond" w:hAnsi="Garamond"/>
          <w:color w:val="000000" w:themeColor="text1"/>
        </w:rPr>
      </w:pPr>
    </w:p>
    <w:p w14:paraId="5177EEEF" w14:textId="28F1E5FE" w:rsidR="00A76C93" w:rsidRPr="00A76C93" w:rsidRDefault="00A76C93" w:rsidP="002A591D">
      <w:pPr>
        <w:tabs>
          <w:tab w:val="left" w:pos="6440"/>
        </w:tabs>
        <w:spacing w:line="252" w:lineRule="auto"/>
        <w:ind w:left="567"/>
        <w:jc w:val="both"/>
        <w:rPr>
          <w:rFonts w:ascii="Garamond" w:hAnsi="Garamond"/>
          <w:color w:val="000000" w:themeColor="text1"/>
        </w:rPr>
      </w:pPr>
      <w:r w:rsidRPr="00A76C93">
        <w:rPr>
          <w:rFonts w:ascii="Garamond" w:hAnsi="Garamond"/>
          <w:color w:val="000000" w:themeColor="text1"/>
        </w:rPr>
        <w:t>« </w:t>
      </w:r>
      <w:r w:rsidRPr="00A76C93">
        <w:rPr>
          <w:rFonts w:ascii="Garamond" w:hAnsi="Garamond"/>
          <w:i/>
          <w:iCs/>
          <w:color w:val="000000" w:themeColor="text1"/>
        </w:rPr>
        <w:t>L</w:t>
      </w:r>
      <w:r w:rsidR="00F86CA7">
        <w:rPr>
          <w:rFonts w:ascii="Garamond" w:hAnsi="Garamond"/>
          <w:i/>
          <w:iCs/>
          <w:color w:val="000000" w:themeColor="text1"/>
        </w:rPr>
        <w:t>’</w:t>
      </w:r>
      <w:r w:rsidRPr="00A76C93">
        <w:rPr>
          <w:rFonts w:ascii="Garamond" w:hAnsi="Garamond"/>
          <w:i/>
          <w:iCs/>
          <w:color w:val="000000" w:themeColor="text1"/>
        </w:rPr>
        <w:t xml:space="preserve">injonction à la sobriété, qui redéfinit le souhaitable au nom de la morale pour rendre la sobriété acceptable, </w:t>
      </w:r>
      <w:r w:rsidRPr="00A76C93">
        <w:rPr>
          <w:rFonts w:ascii="Garamond" w:hAnsi="Garamond"/>
          <w:i/>
          <w:iCs/>
          <w:color w:val="000000" w:themeColor="text1"/>
          <w:u w:val="single"/>
        </w:rPr>
        <w:t>correspond au transfert vers les individus des coûts de l</w:t>
      </w:r>
      <w:r w:rsidR="00F86CA7">
        <w:rPr>
          <w:rFonts w:ascii="Garamond" w:hAnsi="Garamond"/>
          <w:i/>
          <w:iCs/>
          <w:color w:val="000000" w:themeColor="text1"/>
          <w:u w:val="single"/>
        </w:rPr>
        <w:t>’</w:t>
      </w:r>
      <w:r w:rsidRPr="00A76C93">
        <w:rPr>
          <w:rFonts w:ascii="Garamond" w:hAnsi="Garamond"/>
          <w:i/>
          <w:iCs/>
          <w:color w:val="000000" w:themeColor="text1"/>
          <w:u w:val="single"/>
        </w:rPr>
        <w:t>inaction climatique et des choix sociotechniques passés, sans tenir compte de l</w:t>
      </w:r>
      <w:r w:rsidR="00F86CA7">
        <w:rPr>
          <w:rFonts w:ascii="Garamond" w:hAnsi="Garamond"/>
          <w:i/>
          <w:iCs/>
          <w:color w:val="000000" w:themeColor="text1"/>
          <w:u w:val="single"/>
        </w:rPr>
        <w:t>’</w:t>
      </w:r>
      <w:r w:rsidRPr="00A76C93">
        <w:rPr>
          <w:rFonts w:ascii="Garamond" w:hAnsi="Garamond"/>
          <w:i/>
          <w:iCs/>
          <w:color w:val="000000" w:themeColor="text1"/>
          <w:u w:val="single"/>
        </w:rPr>
        <w:t>équité dans la répartition des efforts, et donc du caractère juste de la transition</w:t>
      </w:r>
      <w:r w:rsidRPr="00A76C93">
        <w:rPr>
          <w:rFonts w:ascii="Garamond" w:hAnsi="Garamond"/>
          <w:color w:val="000000" w:themeColor="text1"/>
        </w:rPr>
        <w:t xml:space="preserve">. </w:t>
      </w:r>
    </w:p>
    <w:p w14:paraId="01163772" w14:textId="77777777" w:rsidR="00A76C93" w:rsidRPr="00A76C93" w:rsidRDefault="00A76C93" w:rsidP="002A591D">
      <w:pPr>
        <w:tabs>
          <w:tab w:val="left" w:pos="6440"/>
        </w:tabs>
        <w:spacing w:line="252" w:lineRule="auto"/>
        <w:ind w:left="567"/>
        <w:jc w:val="both"/>
        <w:rPr>
          <w:rFonts w:ascii="Garamond" w:hAnsi="Garamond"/>
          <w:color w:val="000000" w:themeColor="text1"/>
        </w:rPr>
      </w:pPr>
    </w:p>
    <w:p w14:paraId="36A58BA1" w14:textId="6659F913" w:rsidR="002A591D" w:rsidRPr="00F52A38" w:rsidRDefault="00A76C93" w:rsidP="002A591D">
      <w:pPr>
        <w:tabs>
          <w:tab w:val="left" w:pos="6440"/>
        </w:tabs>
        <w:spacing w:line="252" w:lineRule="auto"/>
        <w:ind w:left="567"/>
        <w:jc w:val="both"/>
        <w:rPr>
          <w:rFonts w:ascii="Garamond" w:hAnsi="Garamond"/>
          <w:color w:val="000000" w:themeColor="text1"/>
        </w:rPr>
      </w:pPr>
      <w:r w:rsidRPr="00A76C93">
        <w:rPr>
          <w:rFonts w:ascii="Garamond" w:hAnsi="Garamond"/>
          <w:i/>
          <w:iCs/>
          <w:color w:val="000000" w:themeColor="text1"/>
        </w:rPr>
        <w:t>Pour paraphraser R. Felli, au nom de la résilience collective, incarnée dans les idéaux de Nation, d</w:t>
      </w:r>
      <w:r w:rsidR="00F86CA7">
        <w:rPr>
          <w:rFonts w:ascii="Garamond" w:hAnsi="Garamond"/>
          <w:i/>
          <w:iCs/>
          <w:color w:val="000000" w:themeColor="text1"/>
        </w:rPr>
        <w:t>’</w:t>
      </w:r>
      <w:r w:rsidRPr="00A76C93">
        <w:rPr>
          <w:rFonts w:ascii="Garamond" w:hAnsi="Garamond"/>
          <w:i/>
          <w:iCs/>
          <w:color w:val="000000" w:themeColor="text1"/>
        </w:rPr>
        <w:t>Europe, de camp des démocraties, les individus sont sommés d</w:t>
      </w:r>
      <w:r w:rsidR="00F86CA7">
        <w:rPr>
          <w:rFonts w:ascii="Garamond" w:hAnsi="Garamond"/>
          <w:i/>
          <w:iCs/>
          <w:color w:val="000000" w:themeColor="text1"/>
        </w:rPr>
        <w:t>’</w:t>
      </w:r>
      <w:r w:rsidRPr="00A76C93">
        <w:rPr>
          <w:rFonts w:ascii="Garamond" w:hAnsi="Garamond"/>
          <w:i/>
          <w:iCs/>
          <w:color w:val="000000" w:themeColor="text1"/>
        </w:rPr>
        <w:t>accepter l</w:t>
      </w:r>
      <w:r w:rsidR="00F86CA7">
        <w:rPr>
          <w:rFonts w:ascii="Garamond" w:hAnsi="Garamond"/>
          <w:i/>
          <w:iCs/>
          <w:color w:val="000000" w:themeColor="text1"/>
        </w:rPr>
        <w:t>’</w:t>
      </w:r>
      <w:r w:rsidRPr="00A76C93">
        <w:rPr>
          <w:rFonts w:ascii="Garamond" w:hAnsi="Garamond"/>
          <w:i/>
          <w:iCs/>
          <w:color w:val="000000" w:themeColor="text1"/>
        </w:rPr>
        <w:t xml:space="preserve">effort à accomplir et de </w:t>
      </w:r>
      <w:r w:rsidR="002A591D">
        <w:rPr>
          <w:rFonts w:ascii="Garamond" w:hAnsi="Garamond"/>
          <w:i/>
          <w:iCs/>
          <w:color w:val="000000" w:themeColor="text1"/>
        </w:rPr>
        <w:t>"</w:t>
      </w:r>
      <w:r w:rsidRPr="00A76C93">
        <w:rPr>
          <w:rFonts w:ascii="Garamond" w:hAnsi="Garamond"/>
          <w:i/>
          <w:iCs/>
          <w:color w:val="000000" w:themeColor="text1"/>
        </w:rPr>
        <w:t>réinternaliser la responsabilité de leur propre situation</w:t>
      </w:r>
      <w:r w:rsidR="002A591D">
        <w:rPr>
          <w:rFonts w:ascii="Garamond" w:hAnsi="Garamond"/>
          <w:i/>
          <w:iCs/>
          <w:color w:val="000000" w:themeColor="text1"/>
        </w:rPr>
        <w:t>"</w:t>
      </w:r>
      <w:r w:rsidRPr="00A76C93">
        <w:rPr>
          <w:rFonts w:ascii="Garamond" w:hAnsi="Garamond"/>
          <w:i/>
          <w:iCs/>
          <w:color w:val="000000" w:themeColor="text1"/>
        </w:rPr>
        <w:t xml:space="preserve">, </w:t>
      </w:r>
      <w:r w:rsidRPr="00A76C93">
        <w:rPr>
          <w:rFonts w:ascii="Garamond" w:hAnsi="Garamond"/>
          <w:i/>
          <w:iCs/>
          <w:color w:val="000000" w:themeColor="text1"/>
          <w:u w:val="single"/>
        </w:rPr>
        <w:t xml:space="preserve">plutôt que de la faire porter sur </w:t>
      </w:r>
      <w:r w:rsidR="002A591D">
        <w:rPr>
          <w:rFonts w:ascii="Garamond" w:hAnsi="Garamond"/>
          <w:i/>
          <w:iCs/>
          <w:color w:val="000000" w:themeColor="text1"/>
          <w:u w:val="single"/>
        </w:rPr>
        <w:t>"</w:t>
      </w:r>
      <w:r w:rsidRPr="00A76C93">
        <w:rPr>
          <w:rFonts w:ascii="Garamond" w:hAnsi="Garamond"/>
          <w:i/>
          <w:iCs/>
          <w:color w:val="000000" w:themeColor="text1"/>
          <w:u w:val="single"/>
        </w:rPr>
        <w:t>le monde qui les entoure et les rapports sociaux dans lesquels ils sont pris</w:t>
      </w:r>
      <w:r w:rsidR="002A591D">
        <w:rPr>
          <w:rFonts w:ascii="Garamond" w:hAnsi="Garamond"/>
          <w:i/>
          <w:iCs/>
          <w:color w:val="000000" w:themeColor="text1"/>
          <w:u w:val="single"/>
        </w:rPr>
        <w:t>"</w:t>
      </w:r>
      <w:r w:rsidRPr="00A76C93">
        <w:rPr>
          <w:rFonts w:ascii="Garamond" w:hAnsi="Garamond"/>
          <w:i/>
          <w:iCs/>
          <w:color w:val="000000" w:themeColor="text1"/>
          <w:u w:val="single"/>
        </w:rPr>
        <w:t>, c</w:t>
      </w:r>
      <w:r w:rsidR="00F86CA7">
        <w:rPr>
          <w:rFonts w:ascii="Garamond" w:hAnsi="Garamond"/>
          <w:i/>
          <w:iCs/>
          <w:color w:val="000000" w:themeColor="text1"/>
          <w:u w:val="single"/>
        </w:rPr>
        <w:t>’</w:t>
      </w:r>
      <w:r w:rsidRPr="00A76C93">
        <w:rPr>
          <w:rFonts w:ascii="Garamond" w:hAnsi="Garamond"/>
          <w:i/>
          <w:iCs/>
          <w:color w:val="000000" w:themeColor="text1"/>
          <w:u w:val="single"/>
        </w:rPr>
        <w:t>est-à-dire sur les causes structurelles de l</w:t>
      </w:r>
      <w:r w:rsidR="00F86CA7">
        <w:rPr>
          <w:rFonts w:ascii="Garamond" w:hAnsi="Garamond"/>
          <w:i/>
          <w:iCs/>
          <w:color w:val="000000" w:themeColor="text1"/>
          <w:u w:val="single"/>
        </w:rPr>
        <w:t>’</w:t>
      </w:r>
      <w:r w:rsidRPr="00A76C93">
        <w:rPr>
          <w:rFonts w:ascii="Garamond" w:hAnsi="Garamond"/>
          <w:i/>
          <w:iCs/>
          <w:color w:val="000000" w:themeColor="text1"/>
          <w:u w:val="single"/>
        </w:rPr>
        <w:t>inaction climatique et du retard accumulé dans les politiques de transition énergétique</w:t>
      </w:r>
      <w:r w:rsidR="002A591D">
        <w:rPr>
          <w:rFonts w:ascii="Garamond" w:hAnsi="Garamond"/>
          <w:color w:val="000000" w:themeColor="text1"/>
        </w:rPr>
        <w:t xml:space="preserve"> » </w:t>
      </w:r>
      <w:r w:rsidRPr="00A76C93">
        <w:rPr>
          <w:rFonts w:ascii="Garamond" w:hAnsi="Garamond"/>
          <w:color w:val="000000" w:themeColor="text1"/>
        </w:rPr>
        <w:t>(Magali R</w:t>
      </w:r>
      <w:r w:rsidR="002A591D">
        <w:rPr>
          <w:rFonts w:ascii="Garamond" w:hAnsi="Garamond"/>
          <w:color w:val="000000" w:themeColor="text1"/>
        </w:rPr>
        <w:t>EGHEZZA-ZITT</w:t>
      </w:r>
      <w:r w:rsidRPr="00A76C93">
        <w:rPr>
          <w:rFonts w:ascii="Garamond" w:hAnsi="Garamond"/>
          <w:color w:val="000000" w:themeColor="text1"/>
        </w:rPr>
        <w:t>, « La sobriété au temps de l</w:t>
      </w:r>
      <w:r w:rsidR="00F86CA7">
        <w:rPr>
          <w:rFonts w:ascii="Garamond" w:hAnsi="Garamond"/>
          <w:color w:val="000000" w:themeColor="text1"/>
        </w:rPr>
        <w:t>’</w:t>
      </w:r>
      <w:r w:rsidRPr="00A76C93">
        <w:rPr>
          <w:rFonts w:ascii="Garamond" w:hAnsi="Garamond"/>
          <w:color w:val="000000" w:themeColor="text1"/>
        </w:rPr>
        <w:t>écologie de guerre : comportements individuels et dimensions collectives de la transition »,</w:t>
      </w:r>
      <w:r w:rsidR="002A591D">
        <w:rPr>
          <w:rFonts w:ascii="Garamond" w:hAnsi="Garamond"/>
          <w:color w:val="000000" w:themeColor="text1"/>
        </w:rPr>
        <w:t xml:space="preserve"> </w:t>
      </w:r>
      <w:r w:rsidRPr="00A76C93">
        <w:rPr>
          <w:rFonts w:ascii="Garamond" w:hAnsi="Garamond"/>
          <w:i/>
          <w:iCs/>
          <w:color w:val="000000" w:themeColor="text1"/>
        </w:rPr>
        <w:t>GREEN</w:t>
      </w:r>
      <w:r w:rsidRPr="00A76C93">
        <w:rPr>
          <w:rFonts w:ascii="Garamond" w:hAnsi="Garamond"/>
          <w:color w:val="000000" w:themeColor="text1"/>
        </w:rPr>
        <w:t>, vol. 2, n</w:t>
      </w:r>
      <w:r w:rsidR="002A591D">
        <w:rPr>
          <w:rFonts w:ascii="Garamond" w:hAnsi="Garamond"/>
          <w:color w:val="000000" w:themeColor="text1"/>
        </w:rPr>
        <w:t>° </w:t>
      </w:r>
      <w:r w:rsidRPr="00A76C93">
        <w:rPr>
          <w:rFonts w:ascii="Garamond" w:hAnsi="Garamond"/>
          <w:color w:val="000000" w:themeColor="text1"/>
        </w:rPr>
        <w:t>1, 2022, p</w:t>
      </w:r>
      <w:r w:rsidR="002A591D">
        <w:rPr>
          <w:rFonts w:ascii="Garamond" w:hAnsi="Garamond"/>
          <w:color w:val="000000" w:themeColor="text1"/>
        </w:rPr>
        <w:t>p</w:t>
      </w:r>
      <w:r w:rsidRPr="00A76C93">
        <w:rPr>
          <w:rFonts w:ascii="Garamond" w:hAnsi="Garamond"/>
          <w:color w:val="000000" w:themeColor="text1"/>
        </w:rPr>
        <w:t>.</w:t>
      </w:r>
      <w:r w:rsidR="002A591D">
        <w:rPr>
          <w:rFonts w:ascii="Garamond" w:hAnsi="Garamond"/>
          <w:color w:val="000000" w:themeColor="text1"/>
        </w:rPr>
        <w:t> </w:t>
      </w:r>
      <w:r w:rsidRPr="00A76C93">
        <w:rPr>
          <w:rFonts w:ascii="Garamond" w:hAnsi="Garamond"/>
          <w:color w:val="000000" w:themeColor="text1"/>
        </w:rPr>
        <w:t xml:space="preserve">65-71, </w:t>
      </w:r>
      <w:r w:rsidR="002A591D">
        <w:rPr>
          <w:rFonts w:ascii="Garamond" w:hAnsi="Garamond"/>
          <w:color w:val="000000" w:themeColor="text1"/>
        </w:rPr>
        <w:t>soulignement ajouté</w:t>
      </w:r>
      <w:r w:rsidRPr="00A76C93">
        <w:rPr>
          <w:rFonts w:ascii="Garamond" w:hAnsi="Garamond"/>
          <w:color w:val="000000" w:themeColor="text1"/>
        </w:rPr>
        <w:t>).</w:t>
      </w:r>
    </w:p>
    <w:p w14:paraId="07EA604E" w14:textId="77777777" w:rsidR="002A591D" w:rsidRPr="00A76C93" w:rsidRDefault="002A591D" w:rsidP="002A591D">
      <w:pPr>
        <w:tabs>
          <w:tab w:val="left" w:pos="6440"/>
        </w:tabs>
        <w:spacing w:line="252" w:lineRule="auto"/>
        <w:jc w:val="both"/>
        <w:rPr>
          <w:rFonts w:ascii="Garamond" w:hAnsi="Garamond"/>
          <w:color w:val="000000" w:themeColor="text1"/>
        </w:rPr>
      </w:pPr>
    </w:p>
    <w:p w14:paraId="73DDF806" w14:textId="1BCB6F25"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Du reste, c</w:t>
      </w:r>
      <w:r w:rsidR="00A76C93" w:rsidRPr="00A76C93">
        <w:rPr>
          <w:rFonts w:ascii="Garamond" w:hAnsi="Garamond"/>
          <w:color w:val="000000" w:themeColor="text1"/>
        </w:rPr>
        <w:t xml:space="preserve">ette analyse coïncide avec celle </w:t>
      </w:r>
      <w:r>
        <w:rPr>
          <w:rFonts w:ascii="Garamond" w:hAnsi="Garamond"/>
          <w:color w:val="000000" w:themeColor="text1"/>
        </w:rPr>
        <w:t xml:space="preserve">opérée par </w:t>
      </w:r>
      <w:r w:rsidR="00A76C93" w:rsidRPr="00A76C93">
        <w:rPr>
          <w:rFonts w:ascii="Garamond" w:hAnsi="Garamond"/>
          <w:color w:val="000000" w:themeColor="text1"/>
        </w:rPr>
        <w:t>l</w:t>
      </w:r>
      <w:r w:rsidR="00F86CA7">
        <w:rPr>
          <w:rFonts w:ascii="Garamond" w:hAnsi="Garamond"/>
          <w:color w:val="000000" w:themeColor="text1"/>
        </w:rPr>
        <w:t>’</w:t>
      </w:r>
      <w:r w:rsidR="00A76C93" w:rsidRPr="00A76C93">
        <w:rPr>
          <w:rFonts w:ascii="Garamond" w:hAnsi="Garamond"/>
          <w:color w:val="000000" w:themeColor="text1"/>
        </w:rPr>
        <w:t>Observatoire National de la Précarité Énergétique (ONPE)</w:t>
      </w:r>
      <w:r>
        <w:rPr>
          <w:rFonts w:ascii="Garamond" w:hAnsi="Garamond"/>
          <w:color w:val="000000" w:themeColor="text1"/>
        </w:rPr>
        <w:t xml:space="preserve"> qui, d</w:t>
      </w:r>
      <w:r w:rsidR="00A76C93" w:rsidRPr="00A76C93">
        <w:rPr>
          <w:rFonts w:ascii="Garamond" w:hAnsi="Garamond"/>
          <w:color w:val="000000" w:themeColor="text1"/>
        </w:rPr>
        <w:t xml:space="preserve">ans une étude publiée en 2022, </w:t>
      </w:r>
      <w:r>
        <w:rPr>
          <w:rFonts w:ascii="Garamond" w:hAnsi="Garamond"/>
          <w:color w:val="000000" w:themeColor="text1"/>
        </w:rPr>
        <w:t>relevait</w:t>
      </w:r>
      <w:r w:rsidR="00A76C93" w:rsidRPr="00A76C93">
        <w:rPr>
          <w:rFonts w:ascii="Garamond" w:hAnsi="Garamond"/>
          <w:color w:val="000000" w:themeColor="text1"/>
        </w:rPr>
        <w:t xml:space="preserve"> que 22</w:t>
      </w:r>
      <w:r>
        <w:rPr>
          <w:rFonts w:ascii="Garamond" w:hAnsi="Garamond"/>
          <w:color w:val="000000" w:themeColor="text1"/>
        </w:rPr>
        <w:t> </w:t>
      </w:r>
      <w:r w:rsidR="00A76C93" w:rsidRPr="00A76C93">
        <w:rPr>
          <w:rFonts w:ascii="Garamond" w:hAnsi="Garamond"/>
          <w:color w:val="000000" w:themeColor="text1"/>
        </w:rPr>
        <w:t xml:space="preserve">% des </w:t>
      </w:r>
      <w:r>
        <w:rPr>
          <w:rFonts w:ascii="Garamond" w:hAnsi="Garamond"/>
          <w:color w:val="000000" w:themeColor="text1"/>
        </w:rPr>
        <w:t>Français</w:t>
      </w:r>
      <w:r w:rsidR="00A76C93" w:rsidRPr="00A76C93">
        <w:rPr>
          <w:rFonts w:ascii="Garamond" w:hAnsi="Garamond"/>
          <w:color w:val="000000" w:themeColor="text1"/>
        </w:rPr>
        <w:t xml:space="preserve"> déclar</w:t>
      </w:r>
      <w:r>
        <w:rPr>
          <w:rFonts w:ascii="Garamond" w:hAnsi="Garamond"/>
          <w:color w:val="000000" w:themeColor="text1"/>
        </w:rPr>
        <w:t>ai</w:t>
      </w:r>
      <w:r w:rsidR="00A76C93" w:rsidRPr="00A76C93">
        <w:rPr>
          <w:rFonts w:ascii="Garamond" w:hAnsi="Garamond"/>
          <w:color w:val="000000" w:themeColor="text1"/>
        </w:rPr>
        <w:t>ent avoir souffert du froid au cours de l</w:t>
      </w:r>
      <w:r w:rsidR="00F86CA7">
        <w:rPr>
          <w:rFonts w:ascii="Garamond" w:hAnsi="Garamond"/>
          <w:color w:val="000000" w:themeColor="text1"/>
        </w:rPr>
        <w:t>’</w:t>
      </w:r>
      <w:r w:rsidR="00A76C93" w:rsidRPr="00A76C93">
        <w:rPr>
          <w:rFonts w:ascii="Garamond" w:hAnsi="Garamond"/>
          <w:color w:val="000000" w:themeColor="text1"/>
        </w:rPr>
        <w:t>hiver 2021-2022 pendant au moins 24 heures</w:t>
      </w:r>
      <w:r>
        <w:rPr>
          <w:rFonts w:ascii="Garamond" w:hAnsi="Garamond"/>
          <w:color w:val="000000" w:themeColor="text1"/>
        </w:rPr>
        <w:t>,</w:t>
      </w:r>
      <w:r w:rsidR="00A76C93" w:rsidRPr="00A76C93">
        <w:rPr>
          <w:rFonts w:ascii="Garamond" w:hAnsi="Garamond"/>
          <w:color w:val="000000" w:themeColor="text1"/>
        </w:rPr>
        <w:t xml:space="preserve"> </w:t>
      </w:r>
      <w:r>
        <w:rPr>
          <w:rFonts w:ascii="Garamond" w:hAnsi="Garamond"/>
          <w:color w:val="000000" w:themeColor="text1"/>
        </w:rPr>
        <w:t xml:space="preserve">dont </w:t>
      </w:r>
      <w:r w:rsidR="00A76C93" w:rsidRPr="00A76C93">
        <w:rPr>
          <w:rFonts w:ascii="Garamond" w:hAnsi="Garamond"/>
          <w:color w:val="000000" w:themeColor="text1"/>
        </w:rPr>
        <w:t>37</w:t>
      </w:r>
      <w:r>
        <w:rPr>
          <w:rFonts w:ascii="Garamond" w:hAnsi="Garamond"/>
          <w:color w:val="000000" w:themeColor="text1"/>
        </w:rPr>
        <w:t> </w:t>
      </w:r>
      <w:r w:rsidR="00A76C93" w:rsidRPr="00A76C93">
        <w:rPr>
          <w:rFonts w:ascii="Garamond" w:hAnsi="Garamond"/>
          <w:color w:val="000000" w:themeColor="text1"/>
        </w:rPr>
        <w:t xml:space="preserve">% </w:t>
      </w:r>
      <w:r>
        <w:rPr>
          <w:rFonts w:ascii="Garamond" w:hAnsi="Garamond"/>
          <w:color w:val="000000" w:themeColor="text1"/>
        </w:rPr>
        <w:t>pour des raisons financières</w:t>
      </w:r>
      <w:r w:rsidR="00A76C93" w:rsidRPr="00A76C93">
        <w:rPr>
          <w:rFonts w:ascii="Garamond" w:hAnsi="Garamond"/>
          <w:color w:val="000000" w:themeColor="text1"/>
        </w:rPr>
        <w:t xml:space="preserve">. </w:t>
      </w:r>
    </w:p>
    <w:p w14:paraId="2580EBE0" w14:textId="77777777" w:rsidR="00A76C93" w:rsidRPr="00A76C93" w:rsidRDefault="00A76C93" w:rsidP="00A76C93">
      <w:pPr>
        <w:tabs>
          <w:tab w:val="left" w:pos="6440"/>
        </w:tabs>
        <w:spacing w:line="252" w:lineRule="auto"/>
        <w:jc w:val="both"/>
        <w:rPr>
          <w:rFonts w:ascii="Garamond" w:hAnsi="Garamond"/>
          <w:color w:val="000000" w:themeColor="text1"/>
        </w:rPr>
      </w:pPr>
    </w:p>
    <w:p w14:paraId="5DE5C737" w14:textId="6C61072D"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Dès lors</w:t>
      </w:r>
      <w:r w:rsidR="00A76C93" w:rsidRPr="00A76C93">
        <w:rPr>
          <w:rFonts w:ascii="Garamond" w:hAnsi="Garamond"/>
          <w:color w:val="000000" w:themeColor="text1"/>
        </w:rPr>
        <w:t>, si une diminution de la consommation d</w:t>
      </w:r>
      <w:r w:rsidR="00F86CA7">
        <w:rPr>
          <w:rFonts w:ascii="Garamond" w:hAnsi="Garamond"/>
          <w:color w:val="000000" w:themeColor="text1"/>
        </w:rPr>
        <w:t>’</w:t>
      </w:r>
      <w:r w:rsidR="00A76C93" w:rsidRPr="00A76C93">
        <w:rPr>
          <w:rFonts w:ascii="Garamond" w:hAnsi="Garamond"/>
          <w:color w:val="000000" w:themeColor="text1"/>
        </w:rPr>
        <w:t>énergie a pu être effectivement constatée par l</w:t>
      </w:r>
      <w:r w:rsidR="00F86CA7">
        <w:rPr>
          <w:rFonts w:ascii="Garamond" w:hAnsi="Garamond"/>
          <w:color w:val="000000" w:themeColor="text1"/>
        </w:rPr>
        <w:t>’</w:t>
      </w:r>
      <w:r w:rsidR="00A76C93" w:rsidRPr="00A76C93">
        <w:rPr>
          <w:rFonts w:ascii="Garamond" w:hAnsi="Garamond"/>
          <w:color w:val="000000" w:themeColor="text1"/>
        </w:rPr>
        <w:t>opérateur de réseau RTE, les incitations à la sobriété ne sauraient être mises au crédit de l</w:t>
      </w:r>
      <w:r w:rsidR="00F86CA7">
        <w:rPr>
          <w:rFonts w:ascii="Garamond" w:hAnsi="Garamond"/>
          <w:color w:val="000000" w:themeColor="text1"/>
        </w:rPr>
        <w:t>’</w:t>
      </w:r>
      <w:r w:rsidR="00A76C93" w:rsidRPr="00A76C93">
        <w:rPr>
          <w:rFonts w:ascii="Garamond" w:hAnsi="Garamond"/>
          <w:color w:val="000000" w:themeColor="text1"/>
        </w:rPr>
        <w:t>État</w:t>
      </w:r>
      <w:r>
        <w:rPr>
          <w:rFonts w:ascii="Garamond" w:hAnsi="Garamond"/>
          <w:color w:val="000000" w:themeColor="text1"/>
        </w:rPr>
        <w:t>,</w:t>
      </w:r>
      <w:r w:rsidR="00A76C93" w:rsidRPr="00A76C93">
        <w:rPr>
          <w:rFonts w:ascii="Garamond" w:hAnsi="Garamond"/>
          <w:color w:val="000000" w:themeColor="text1"/>
        </w:rPr>
        <w:t xml:space="preserve"> dès lors qu</w:t>
      </w:r>
      <w:r w:rsidR="00F86CA7">
        <w:rPr>
          <w:rFonts w:ascii="Garamond" w:hAnsi="Garamond"/>
          <w:color w:val="000000" w:themeColor="text1"/>
        </w:rPr>
        <w:t>’</w:t>
      </w:r>
      <w:r w:rsidR="00A76C93" w:rsidRPr="00A76C93">
        <w:rPr>
          <w:rFonts w:ascii="Garamond" w:hAnsi="Garamond"/>
          <w:color w:val="000000" w:themeColor="text1"/>
        </w:rPr>
        <w:t>elles invisibilisent les situations de précarité énergétique, c</w:t>
      </w:r>
      <w:r w:rsidR="00F86CA7">
        <w:rPr>
          <w:rFonts w:ascii="Garamond" w:hAnsi="Garamond"/>
          <w:color w:val="000000" w:themeColor="text1"/>
        </w:rPr>
        <w:t>’</w:t>
      </w:r>
      <w:r w:rsidR="00A76C93" w:rsidRPr="00A76C93">
        <w:rPr>
          <w:rFonts w:ascii="Garamond" w:hAnsi="Garamond"/>
          <w:color w:val="000000" w:themeColor="text1"/>
        </w:rPr>
        <w:t>est-à-dire les situations de sobriété subie</w:t>
      </w:r>
      <w:r>
        <w:rPr>
          <w:rFonts w:ascii="Garamond" w:hAnsi="Garamond"/>
          <w:color w:val="000000" w:themeColor="text1"/>
        </w:rPr>
        <w:t>s</w:t>
      </w:r>
      <w:r w:rsidR="00A76C93" w:rsidRPr="00A76C93">
        <w:rPr>
          <w:rFonts w:ascii="Garamond" w:hAnsi="Garamond"/>
          <w:color w:val="000000" w:themeColor="text1"/>
        </w:rPr>
        <w:t xml:space="preserve"> par une partie conséquente de la population française</w:t>
      </w:r>
      <w:r>
        <w:rPr>
          <w:rStyle w:val="Appelnotedebasdep"/>
          <w:rFonts w:ascii="Garamond" w:hAnsi="Garamond"/>
          <w:color w:val="000000" w:themeColor="text1"/>
        </w:rPr>
        <w:footnoteReference w:id="4"/>
      </w:r>
      <w:r w:rsidR="00A76C93" w:rsidRPr="00A76C93">
        <w:rPr>
          <w:rFonts w:ascii="Garamond" w:hAnsi="Garamond"/>
          <w:color w:val="000000" w:themeColor="text1"/>
        </w:rPr>
        <w:t xml:space="preserve">. </w:t>
      </w:r>
    </w:p>
    <w:p w14:paraId="7904552F" w14:textId="77777777" w:rsidR="002A591D" w:rsidRPr="00A76C93" w:rsidRDefault="002A591D" w:rsidP="002A591D">
      <w:pPr>
        <w:tabs>
          <w:tab w:val="left" w:pos="6440"/>
        </w:tabs>
        <w:spacing w:line="252" w:lineRule="auto"/>
        <w:jc w:val="both"/>
        <w:rPr>
          <w:rFonts w:ascii="Garamond" w:hAnsi="Garamond"/>
          <w:color w:val="000000" w:themeColor="text1"/>
        </w:rPr>
      </w:pPr>
    </w:p>
    <w:p w14:paraId="3644EBAE" w14:textId="77777777" w:rsidR="002A591D" w:rsidRPr="00F52A38" w:rsidRDefault="002A591D" w:rsidP="002A591D">
      <w:pPr>
        <w:numPr>
          <w:ilvl w:val="0"/>
          <w:numId w:val="1"/>
        </w:numPr>
        <w:spacing w:line="252" w:lineRule="auto"/>
        <w:ind w:left="0" w:firstLine="0"/>
        <w:jc w:val="both"/>
        <w:rPr>
          <w:rFonts w:ascii="Garamond" w:hAnsi="Garamond"/>
          <w:color w:val="000000" w:themeColor="text1"/>
        </w:rPr>
      </w:pPr>
    </w:p>
    <w:p w14:paraId="0D123294" w14:textId="77777777" w:rsidR="002A591D" w:rsidRPr="00A76C93" w:rsidRDefault="002A591D" w:rsidP="002A591D">
      <w:pPr>
        <w:tabs>
          <w:tab w:val="left" w:pos="6440"/>
        </w:tabs>
        <w:spacing w:line="252" w:lineRule="auto"/>
        <w:jc w:val="both"/>
        <w:rPr>
          <w:rFonts w:ascii="Garamond" w:hAnsi="Garamond"/>
          <w:color w:val="000000" w:themeColor="text1"/>
        </w:rPr>
      </w:pPr>
    </w:p>
    <w:p w14:paraId="22E0FB9C" w14:textId="243EED25" w:rsidR="002A591D"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Plus encore, </w:t>
      </w:r>
      <w:r w:rsidR="002A591D">
        <w:rPr>
          <w:rFonts w:ascii="Garamond" w:hAnsi="Garamond"/>
          <w:color w:val="000000" w:themeColor="text1"/>
        </w:rPr>
        <w:t xml:space="preserve">il apparaît que </w:t>
      </w:r>
      <w:r w:rsidRPr="00A76C93">
        <w:rPr>
          <w:rFonts w:ascii="Garamond" w:hAnsi="Garamond"/>
          <w:color w:val="000000" w:themeColor="text1"/>
        </w:rPr>
        <w:t>d</w:t>
      </w:r>
      <w:r w:rsidR="00F86CA7">
        <w:rPr>
          <w:rFonts w:ascii="Garamond" w:hAnsi="Garamond"/>
          <w:color w:val="000000" w:themeColor="text1"/>
        </w:rPr>
        <w:t>’</w:t>
      </w:r>
      <w:r w:rsidRPr="00A76C93">
        <w:rPr>
          <w:rFonts w:ascii="Garamond" w:hAnsi="Garamond"/>
          <w:color w:val="000000" w:themeColor="text1"/>
        </w:rPr>
        <w:t>autres mesures du plan</w:t>
      </w:r>
      <w:r w:rsidR="002A591D">
        <w:rPr>
          <w:rFonts w:ascii="Garamond" w:hAnsi="Garamond"/>
          <w:color w:val="000000" w:themeColor="text1"/>
        </w:rPr>
        <w:t xml:space="preserve"> de sobriété n</w:t>
      </w:r>
      <w:r w:rsidR="00F86CA7">
        <w:rPr>
          <w:rFonts w:ascii="Garamond" w:hAnsi="Garamond"/>
          <w:color w:val="000000" w:themeColor="text1"/>
        </w:rPr>
        <w:t>’</w:t>
      </w:r>
      <w:r w:rsidR="002A591D">
        <w:rPr>
          <w:rFonts w:ascii="Garamond" w:hAnsi="Garamond"/>
          <w:color w:val="000000" w:themeColor="text1"/>
        </w:rPr>
        <w:t>ont pu exercer d</w:t>
      </w:r>
      <w:r w:rsidR="00F86CA7">
        <w:rPr>
          <w:rFonts w:ascii="Garamond" w:hAnsi="Garamond"/>
          <w:color w:val="000000" w:themeColor="text1"/>
        </w:rPr>
        <w:t>’</w:t>
      </w:r>
      <w:r w:rsidR="002A591D">
        <w:rPr>
          <w:rFonts w:ascii="Garamond" w:hAnsi="Garamond"/>
          <w:color w:val="000000" w:themeColor="text1"/>
        </w:rPr>
        <w:t>influence</w:t>
      </w:r>
      <w:r w:rsidRPr="00A76C93">
        <w:rPr>
          <w:rFonts w:ascii="Garamond" w:hAnsi="Garamond"/>
          <w:color w:val="000000" w:themeColor="text1"/>
        </w:rPr>
        <w:t xml:space="preserve"> déterminante sur les émissions</w:t>
      </w:r>
      <w:r w:rsidR="002A591D">
        <w:rPr>
          <w:rFonts w:ascii="Garamond" w:hAnsi="Garamond"/>
          <w:color w:val="000000" w:themeColor="text1"/>
        </w:rPr>
        <w:t xml:space="preserve"> – et, par extension, sur la réparation du préjudice écologique ou la cessation de l</w:t>
      </w:r>
      <w:r w:rsidR="00F86CA7">
        <w:rPr>
          <w:rFonts w:ascii="Garamond" w:hAnsi="Garamond"/>
          <w:color w:val="000000" w:themeColor="text1"/>
        </w:rPr>
        <w:t>’</w:t>
      </w:r>
      <w:r w:rsidR="002A591D">
        <w:rPr>
          <w:rFonts w:ascii="Garamond" w:hAnsi="Garamond"/>
          <w:color w:val="000000" w:themeColor="text1"/>
        </w:rPr>
        <w:t>aggravation de ses effets –</w:t>
      </w:r>
      <w:r w:rsidRPr="00A76C93">
        <w:rPr>
          <w:rFonts w:ascii="Garamond" w:hAnsi="Garamond"/>
          <w:color w:val="000000" w:themeColor="text1"/>
        </w:rPr>
        <w:t xml:space="preserve"> soit en raison de leur tardivité, soit en raison de leur portée. </w:t>
      </w:r>
    </w:p>
    <w:p w14:paraId="1658951B" w14:textId="77777777" w:rsidR="002A591D" w:rsidRDefault="002A591D" w:rsidP="00A76C93">
      <w:pPr>
        <w:tabs>
          <w:tab w:val="left" w:pos="6440"/>
        </w:tabs>
        <w:spacing w:line="252" w:lineRule="auto"/>
        <w:jc w:val="both"/>
        <w:rPr>
          <w:rFonts w:ascii="Garamond" w:hAnsi="Garamond"/>
          <w:color w:val="000000" w:themeColor="text1"/>
        </w:rPr>
      </w:pPr>
    </w:p>
    <w:p w14:paraId="6C93616E" w14:textId="7E6B034B"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Cela concerne, notamment,</w:t>
      </w:r>
      <w:r w:rsidR="00A76C93" w:rsidRPr="00A76C93">
        <w:rPr>
          <w:rFonts w:ascii="Garamond" w:hAnsi="Garamond"/>
          <w:color w:val="000000" w:themeColor="text1"/>
        </w:rPr>
        <w:t xml:space="preserve"> l</w:t>
      </w:r>
      <w:r w:rsidR="00F86CA7">
        <w:rPr>
          <w:rFonts w:ascii="Garamond" w:hAnsi="Garamond"/>
          <w:color w:val="000000" w:themeColor="text1"/>
        </w:rPr>
        <w:t>’</w:t>
      </w:r>
      <w:r w:rsidR="00A76C93" w:rsidRPr="00A76C93">
        <w:rPr>
          <w:rFonts w:ascii="Garamond" w:hAnsi="Garamond"/>
          <w:color w:val="000000" w:themeColor="text1"/>
        </w:rPr>
        <w:t>interdiction des terrasses chauffées, l</w:t>
      </w:r>
      <w:r w:rsidR="00F86CA7">
        <w:rPr>
          <w:rFonts w:ascii="Garamond" w:hAnsi="Garamond"/>
          <w:color w:val="000000" w:themeColor="text1"/>
        </w:rPr>
        <w:t>’</w:t>
      </w:r>
      <w:r w:rsidR="00A76C93" w:rsidRPr="00A76C93">
        <w:rPr>
          <w:rFonts w:ascii="Garamond" w:hAnsi="Garamond"/>
          <w:color w:val="000000" w:themeColor="text1"/>
        </w:rPr>
        <w:t>obligation de fermeture des portes des commerces chauffés ou refroidis, l</w:t>
      </w:r>
      <w:r w:rsidR="00F86CA7">
        <w:rPr>
          <w:rFonts w:ascii="Garamond" w:hAnsi="Garamond"/>
          <w:color w:val="000000" w:themeColor="text1"/>
        </w:rPr>
        <w:t>’</w:t>
      </w:r>
      <w:r w:rsidR="00A76C93" w:rsidRPr="00A76C93">
        <w:rPr>
          <w:rFonts w:ascii="Garamond" w:hAnsi="Garamond"/>
          <w:color w:val="000000" w:themeColor="text1"/>
        </w:rPr>
        <w:t>extinction des enseignes et publicités lumineuses entre 1 et 6 heures du matin, l</w:t>
      </w:r>
      <w:r w:rsidR="00F86CA7">
        <w:rPr>
          <w:rFonts w:ascii="Garamond" w:hAnsi="Garamond"/>
          <w:color w:val="000000" w:themeColor="text1"/>
        </w:rPr>
        <w:t>’</w:t>
      </w:r>
      <w:r w:rsidR="00A76C93" w:rsidRPr="00A76C93">
        <w:rPr>
          <w:rFonts w:ascii="Garamond" w:hAnsi="Garamond"/>
          <w:color w:val="000000" w:themeColor="text1"/>
        </w:rPr>
        <w:t>individualisation des frais de chauffage ou la mise en œuvre d</w:t>
      </w:r>
      <w:r w:rsidR="00F86CA7">
        <w:rPr>
          <w:rFonts w:ascii="Garamond" w:hAnsi="Garamond"/>
          <w:color w:val="000000" w:themeColor="text1"/>
        </w:rPr>
        <w:t>’</w:t>
      </w:r>
      <w:r w:rsidR="00A76C93" w:rsidRPr="00A76C93">
        <w:rPr>
          <w:rFonts w:ascii="Garamond" w:hAnsi="Garamond"/>
          <w:color w:val="000000" w:themeColor="text1"/>
        </w:rPr>
        <w:t xml:space="preserve">une </w:t>
      </w:r>
      <w:r>
        <w:rPr>
          <w:rFonts w:ascii="Garamond" w:hAnsi="Garamond"/>
          <w:color w:val="000000" w:themeColor="text1"/>
        </w:rPr>
        <w:t>« g</w:t>
      </w:r>
      <w:r w:rsidR="00A76C93" w:rsidRPr="00A76C93">
        <w:rPr>
          <w:rFonts w:ascii="Garamond" w:hAnsi="Garamond"/>
          <w:color w:val="000000" w:themeColor="text1"/>
        </w:rPr>
        <w:t>estion intelligente des bâtiments tertiaires</w:t>
      </w:r>
      <w:r>
        <w:rPr>
          <w:rFonts w:ascii="Garamond" w:hAnsi="Garamond"/>
          <w:color w:val="000000" w:themeColor="text1"/>
        </w:rPr>
        <w:t> »</w:t>
      </w:r>
      <w:r w:rsidR="00A76C93" w:rsidRPr="00A76C93">
        <w:rPr>
          <w:rFonts w:ascii="Garamond" w:hAnsi="Garamond"/>
          <w:color w:val="000000" w:themeColor="text1"/>
        </w:rPr>
        <w:t xml:space="preserve"> (BACS). </w:t>
      </w:r>
    </w:p>
    <w:p w14:paraId="6D0D9E90" w14:textId="77777777" w:rsidR="00A76C93" w:rsidRPr="00A76C93" w:rsidRDefault="00A76C93" w:rsidP="00A76C93">
      <w:pPr>
        <w:tabs>
          <w:tab w:val="left" w:pos="6440"/>
        </w:tabs>
        <w:spacing w:line="252" w:lineRule="auto"/>
        <w:jc w:val="both"/>
        <w:rPr>
          <w:rFonts w:ascii="Garamond" w:hAnsi="Garamond"/>
          <w:color w:val="000000" w:themeColor="text1"/>
        </w:rPr>
      </w:pPr>
    </w:p>
    <w:p w14:paraId="3E88DFD7" w14:textId="36E9E6C3"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effet, si</w:t>
      </w:r>
      <w:r w:rsidR="00A76C93" w:rsidRPr="00A76C93">
        <w:rPr>
          <w:rFonts w:ascii="Garamond" w:hAnsi="Garamond"/>
          <w:color w:val="000000" w:themeColor="text1"/>
        </w:rPr>
        <w:t xml:space="preserve"> la portée de ces mesures</w:t>
      </w:r>
      <w:r>
        <w:rPr>
          <w:rFonts w:ascii="Garamond" w:hAnsi="Garamond"/>
          <w:color w:val="000000" w:themeColor="text1"/>
        </w:rPr>
        <w:t xml:space="preserve"> </w:t>
      </w:r>
      <w:r w:rsidR="00A76C93" w:rsidRPr="00A76C93">
        <w:rPr>
          <w:rFonts w:ascii="Garamond" w:hAnsi="Garamond"/>
          <w:color w:val="000000" w:themeColor="text1"/>
        </w:rPr>
        <w:t>est</w:t>
      </w:r>
      <w:r>
        <w:rPr>
          <w:rFonts w:ascii="Garamond" w:hAnsi="Garamond"/>
          <w:color w:val="000000" w:themeColor="text1"/>
        </w:rPr>
        <w:t>, déjà,</w:t>
      </w:r>
      <w:r w:rsidR="00A76C93" w:rsidRPr="00A76C93">
        <w:rPr>
          <w:rFonts w:ascii="Garamond" w:hAnsi="Garamond"/>
          <w:color w:val="000000" w:themeColor="text1"/>
        </w:rPr>
        <w:t xml:space="preserve"> limitée</w:t>
      </w:r>
      <w:r>
        <w:rPr>
          <w:rFonts w:ascii="Garamond" w:hAnsi="Garamond"/>
          <w:color w:val="000000" w:themeColor="text1"/>
        </w:rPr>
        <w:t xml:space="preserve"> </w:t>
      </w:r>
      <w:r w:rsidRPr="00A76C93">
        <w:rPr>
          <w:rFonts w:ascii="Garamond" w:hAnsi="Garamond"/>
          <w:color w:val="000000" w:themeColor="text1"/>
        </w:rPr>
        <w:t xml:space="preserve">du </w:t>
      </w:r>
      <w:r>
        <w:rPr>
          <w:rFonts w:ascii="Garamond" w:hAnsi="Garamond"/>
          <w:color w:val="000000" w:themeColor="text1"/>
        </w:rPr>
        <w:t xml:space="preserve">simple </w:t>
      </w:r>
      <w:r w:rsidRPr="00A76C93">
        <w:rPr>
          <w:rFonts w:ascii="Garamond" w:hAnsi="Garamond"/>
          <w:color w:val="000000" w:themeColor="text1"/>
        </w:rPr>
        <w:t>fait de leur objet</w:t>
      </w:r>
      <w:r>
        <w:rPr>
          <w:rFonts w:ascii="Garamond" w:hAnsi="Garamond"/>
          <w:color w:val="000000" w:themeColor="text1"/>
        </w:rPr>
        <w:t>, e</w:t>
      </w:r>
      <w:r w:rsidR="00A76C93" w:rsidRPr="00A76C93">
        <w:rPr>
          <w:rFonts w:ascii="Garamond" w:hAnsi="Garamond"/>
          <w:color w:val="000000" w:themeColor="text1"/>
        </w:rPr>
        <w:t>lle l</w:t>
      </w:r>
      <w:r w:rsidR="00F86CA7">
        <w:rPr>
          <w:rFonts w:ascii="Garamond" w:hAnsi="Garamond"/>
          <w:color w:val="000000" w:themeColor="text1"/>
        </w:rPr>
        <w:t>’</w:t>
      </w:r>
      <w:r w:rsidR="00A76C93" w:rsidRPr="00A76C93">
        <w:rPr>
          <w:rFonts w:ascii="Garamond" w:hAnsi="Garamond"/>
          <w:color w:val="000000" w:themeColor="text1"/>
        </w:rPr>
        <w:t>est d</w:t>
      </w:r>
      <w:r w:rsidR="00F86CA7">
        <w:rPr>
          <w:rFonts w:ascii="Garamond" w:hAnsi="Garamond"/>
          <w:color w:val="000000" w:themeColor="text1"/>
        </w:rPr>
        <w:t>’</w:t>
      </w:r>
      <w:r w:rsidR="00A76C93" w:rsidRPr="00A76C93">
        <w:rPr>
          <w:rFonts w:ascii="Garamond" w:hAnsi="Garamond"/>
          <w:color w:val="000000" w:themeColor="text1"/>
        </w:rPr>
        <w:t>autant plus que</w:t>
      </w:r>
      <w:r>
        <w:rPr>
          <w:rFonts w:ascii="Garamond" w:hAnsi="Garamond"/>
          <w:color w:val="000000" w:themeColor="text1"/>
        </w:rPr>
        <w:t xml:space="preserve"> certaines</w:t>
      </w:r>
      <w:r w:rsidR="00A76C93" w:rsidRPr="00A76C93">
        <w:rPr>
          <w:rFonts w:ascii="Garamond" w:hAnsi="Garamond"/>
          <w:color w:val="000000" w:themeColor="text1"/>
        </w:rPr>
        <w:t xml:space="preserve"> d</w:t>
      </w:r>
      <w:r w:rsidR="00F86CA7">
        <w:rPr>
          <w:rFonts w:ascii="Garamond" w:hAnsi="Garamond"/>
          <w:color w:val="000000" w:themeColor="text1"/>
        </w:rPr>
        <w:t>’</w:t>
      </w:r>
      <w:r w:rsidR="00A76C93" w:rsidRPr="00A76C93">
        <w:rPr>
          <w:rFonts w:ascii="Garamond" w:hAnsi="Garamond"/>
          <w:color w:val="000000" w:themeColor="text1"/>
        </w:rPr>
        <w:t>entre elles</w:t>
      </w:r>
      <w:r>
        <w:rPr>
          <w:rFonts w:ascii="Garamond" w:hAnsi="Garamond"/>
          <w:color w:val="000000" w:themeColor="text1"/>
        </w:rPr>
        <w:t>,</w:t>
      </w:r>
      <w:r w:rsidR="00A76C93" w:rsidRPr="00A76C93">
        <w:rPr>
          <w:rFonts w:ascii="Garamond" w:hAnsi="Garamond"/>
          <w:color w:val="000000" w:themeColor="text1"/>
        </w:rPr>
        <w:t xml:space="preserve"> entrées en vigueur tardivement</w:t>
      </w:r>
      <w:r>
        <w:rPr>
          <w:rFonts w:ascii="Garamond" w:hAnsi="Garamond"/>
          <w:color w:val="000000" w:themeColor="text1"/>
        </w:rPr>
        <w:t xml:space="preserve">, ne peuvent </w:t>
      </w:r>
      <w:r w:rsidR="00A76C93" w:rsidRPr="00A76C93">
        <w:rPr>
          <w:rFonts w:ascii="Garamond" w:hAnsi="Garamond"/>
          <w:color w:val="000000" w:themeColor="text1"/>
        </w:rPr>
        <w:t>être regardées comme un facteur déterminant des baisses d</w:t>
      </w:r>
      <w:r w:rsidR="00F86CA7">
        <w:rPr>
          <w:rFonts w:ascii="Garamond" w:hAnsi="Garamond"/>
          <w:color w:val="000000" w:themeColor="text1"/>
        </w:rPr>
        <w:t>’</w:t>
      </w:r>
      <w:r w:rsidR="00A76C93" w:rsidRPr="00A76C93">
        <w:rPr>
          <w:rFonts w:ascii="Garamond" w:hAnsi="Garamond"/>
          <w:color w:val="000000" w:themeColor="text1"/>
        </w:rPr>
        <w:t xml:space="preserve">émissions </w:t>
      </w:r>
      <w:r>
        <w:rPr>
          <w:rFonts w:ascii="Garamond" w:hAnsi="Garamond"/>
          <w:color w:val="000000" w:themeColor="text1"/>
        </w:rPr>
        <w:t xml:space="preserve">intervenues antérieurement au </w:t>
      </w:r>
      <w:r w:rsidR="00A76C93" w:rsidRPr="00A76C93">
        <w:rPr>
          <w:rFonts w:ascii="Garamond" w:hAnsi="Garamond"/>
          <w:color w:val="000000" w:themeColor="text1"/>
        </w:rPr>
        <w:t xml:space="preserve">31 décembre 2022.  </w:t>
      </w:r>
    </w:p>
    <w:p w14:paraId="240019BE" w14:textId="77777777" w:rsidR="00A76C93" w:rsidRPr="00A76C93" w:rsidRDefault="00A76C93" w:rsidP="00A76C93">
      <w:pPr>
        <w:tabs>
          <w:tab w:val="left" w:pos="6440"/>
        </w:tabs>
        <w:spacing w:line="252" w:lineRule="auto"/>
        <w:jc w:val="both"/>
        <w:rPr>
          <w:rFonts w:ascii="Garamond" w:hAnsi="Garamond"/>
          <w:color w:val="000000" w:themeColor="text1"/>
        </w:rPr>
      </w:pPr>
    </w:p>
    <w:p w14:paraId="32E8514F" w14:textId="46F6D5DE"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Tel est</w:t>
      </w:r>
      <w:r w:rsidR="002A591D">
        <w:rPr>
          <w:rFonts w:ascii="Garamond" w:hAnsi="Garamond"/>
          <w:color w:val="000000" w:themeColor="text1"/>
        </w:rPr>
        <w:t>, notamment,</w:t>
      </w:r>
      <w:r w:rsidRPr="00A76C93">
        <w:rPr>
          <w:rFonts w:ascii="Garamond" w:hAnsi="Garamond"/>
          <w:color w:val="000000" w:themeColor="text1"/>
        </w:rPr>
        <w:t xml:space="preserve"> le cas de l</w:t>
      </w:r>
      <w:r w:rsidR="00F86CA7">
        <w:rPr>
          <w:rFonts w:ascii="Garamond" w:hAnsi="Garamond"/>
          <w:color w:val="000000" w:themeColor="text1"/>
        </w:rPr>
        <w:t>’</w:t>
      </w:r>
      <w:r w:rsidRPr="00A76C93">
        <w:rPr>
          <w:rFonts w:ascii="Garamond" w:hAnsi="Garamond"/>
          <w:color w:val="000000" w:themeColor="text1"/>
        </w:rPr>
        <w:t>obligation de fermeture des ouvrants des bâtiments ou parties de bâtiments à usage tertiaire, chauffés ou refroidi</w:t>
      </w:r>
      <w:r w:rsidR="002A591D">
        <w:rPr>
          <w:rFonts w:ascii="Garamond" w:hAnsi="Garamond"/>
          <w:color w:val="000000" w:themeColor="text1"/>
        </w:rPr>
        <w:t>s,</w:t>
      </w:r>
      <w:r w:rsidRPr="00A76C93">
        <w:rPr>
          <w:rFonts w:ascii="Garamond" w:hAnsi="Garamond"/>
          <w:color w:val="000000" w:themeColor="text1"/>
        </w:rPr>
        <w:t xml:space="preserve"> et de l</w:t>
      </w:r>
      <w:r w:rsidR="00F86CA7">
        <w:rPr>
          <w:rFonts w:ascii="Garamond" w:hAnsi="Garamond"/>
          <w:color w:val="000000" w:themeColor="text1"/>
        </w:rPr>
        <w:t>’</w:t>
      </w:r>
      <w:r w:rsidRPr="00A76C93">
        <w:rPr>
          <w:rFonts w:ascii="Garamond" w:hAnsi="Garamond"/>
          <w:color w:val="000000" w:themeColor="text1"/>
        </w:rPr>
        <w:t>obligation d</w:t>
      </w:r>
      <w:r w:rsidR="00F86CA7">
        <w:rPr>
          <w:rFonts w:ascii="Garamond" w:hAnsi="Garamond"/>
          <w:color w:val="000000" w:themeColor="text1"/>
        </w:rPr>
        <w:t>’</w:t>
      </w:r>
      <w:r w:rsidRPr="00A76C93">
        <w:rPr>
          <w:rFonts w:ascii="Garamond" w:hAnsi="Garamond"/>
          <w:color w:val="000000" w:themeColor="text1"/>
        </w:rPr>
        <w:t>extinction des publicités et enseignes lumineuses</w:t>
      </w:r>
      <w:r w:rsidR="002A591D">
        <w:rPr>
          <w:rFonts w:ascii="Garamond" w:hAnsi="Garamond"/>
          <w:color w:val="000000" w:themeColor="text1"/>
        </w:rPr>
        <w:t xml:space="preserve">, qui ne sont </w:t>
      </w:r>
      <w:r w:rsidRPr="00A76C93">
        <w:rPr>
          <w:rFonts w:ascii="Garamond" w:hAnsi="Garamond"/>
          <w:color w:val="000000" w:themeColor="text1"/>
        </w:rPr>
        <w:t xml:space="preserve">entrées en vigueur </w:t>
      </w:r>
      <w:r w:rsidR="002A591D">
        <w:rPr>
          <w:rFonts w:ascii="Garamond" w:hAnsi="Garamond"/>
          <w:color w:val="000000" w:themeColor="text1"/>
        </w:rPr>
        <w:t xml:space="preserve">que </w:t>
      </w:r>
      <w:r w:rsidRPr="00A76C93">
        <w:rPr>
          <w:rFonts w:ascii="Garamond" w:hAnsi="Garamond"/>
          <w:color w:val="000000" w:themeColor="text1"/>
        </w:rPr>
        <w:t>le 5 octobre 2022</w:t>
      </w:r>
      <w:r w:rsidR="002A591D">
        <w:rPr>
          <w:rFonts w:ascii="Garamond" w:hAnsi="Garamond"/>
          <w:color w:val="000000" w:themeColor="text1"/>
        </w:rPr>
        <w:t>,</w:t>
      </w:r>
      <w:r w:rsidRPr="00A76C93">
        <w:rPr>
          <w:rFonts w:ascii="Garamond" w:hAnsi="Garamond"/>
          <w:color w:val="000000" w:themeColor="text1"/>
        </w:rPr>
        <w:t xml:space="preserve"> </w:t>
      </w:r>
      <w:r w:rsidR="002A591D">
        <w:rPr>
          <w:rFonts w:ascii="Garamond" w:hAnsi="Garamond"/>
          <w:color w:val="000000" w:themeColor="text1"/>
        </w:rPr>
        <w:t xml:space="preserve">avec </w:t>
      </w:r>
      <w:r w:rsidRPr="00A76C93">
        <w:rPr>
          <w:rFonts w:ascii="Garamond" w:hAnsi="Garamond"/>
          <w:color w:val="000000" w:themeColor="text1"/>
        </w:rPr>
        <w:t>la publication</w:t>
      </w:r>
      <w:r w:rsidR="002A591D">
        <w:rPr>
          <w:rFonts w:ascii="Garamond" w:hAnsi="Garamond"/>
          <w:color w:val="000000" w:themeColor="text1"/>
        </w:rPr>
        <w:t xml:space="preserve"> du décret </w:t>
      </w:r>
      <w:r w:rsidRPr="00A76C93">
        <w:rPr>
          <w:rFonts w:ascii="Garamond" w:hAnsi="Garamond"/>
          <w:color w:val="000000" w:themeColor="text1"/>
        </w:rPr>
        <w:t>n°</w:t>
      </w:r>
      <w:r w:rsidR="002A591D">
        <w:rPr>
          <w:rFonts w:ascii="Garamond" w:hAnsi="Garamond"/>
          <w:color w:val="000000" w:themeColor="text1"/>
        </w:rPr>
        <w:t> </w:t>
      </w:r>
      <w:r w:rsidRPr="00A76C93">
        <w:rPr>
          <w:rFonts w:ascii="Garamond" w:hAnsi="Garamond"/>
          <w:color w:val="000000" w:themeColor="text1"/>
        </w:rPr>
        <w:t>2022-129</w:t>
      </w:r>
      <w:r w:rsidR="002A591D">
        <w:rPr>
          <w:rFonts w:ascii="Garamond" w:hAnsi="Garamond"/>
          <w:color w:val="000000" w:themeColor="text1"/>
        </w:rPr>
        <w:t>4</w:t>
      </w:r>
      <w:r w:rsidRPr="00A76C93">
        <w:rPr>
          <w:rFonts w:ascii="Garamond" w:hAnsi="Garamond"/>
          <w:color w:val="000000" w:themeColor="text1"/>
        </w:rPr>
        <w:t xml:space="preserve"> </w:t>
      </w:r>
      <w:r w:rsidR="002A591D" w:rsidRPr="002A591D">
        <w:rPr>
          <w:rFonts w:ascii="Garamond" w:hAnsi="Garamond"/>
          <w:color w:val="000000" w:themeColor="text1"/>
        </w:rPr>
        <w:t>portant modification de certaines dispositions du code de l</w:t>
      </w:r>
      <w:r w:rsidR="00F86CA7">
        <w:rPr>
          <w:rFonts w:ascii="Garamond" w:hAnsi="Garamond"/>
          <w:color w:val="000000" w:themeColor="text1"/>
        </w:rPr>
        <w:t>’</w:t>
      </w:r>
      <w:r w:rsidR="002A591D" w:rsidRPr="002A591D">
        <w:rPr>
          <w:rFonts w:ascii="Garamond" w:hAnsi="Garamond"/>
          <w:color w:val="000000" w:themeColor="text1"/>
        </w:rPr>
        <w:t xml:space="preserve">environnement </w:t>
      </w:r>
      <w:r w:rsidR="002A591D" w:rsidRPr="002A591D">
        <w:rPr>
          <w:rFonts w:ascii="Garamond" w:hAnsi="Garamond"/>
          <w:color w:val="000000" w:themeColor="text1"/>
        </w:rPr>
        <w:lastRenderedPageBreak/>
        <w:t>relatives aux règles d</w:t>
      </w:r>
      <w:r w:rsidR="00F86CA7">
        <w:rPr>
          <w:rFonts w:ascii="Garamond" w:hAnsi="Garamond"/>
          <w:color w:val="000000" w:themeColor="text1"/>
        </w:rPr>
        <w:t>’</w:t>
      </w:r>
      <w:r w:rsidR="002A591D" w:rsidRPr="002A591D">
        <w:rPr>
          <w:rFonts w:ascii="Garamond" w:hAnsi="Garamond"/>
          <w:color w:val="000000" w:themeColor="text1"/>
        </w:rPr>
        <w:t>extinction des publicités lumineuses et aux enseignes lumineuses</w:t>
      </w:r>
      <w:r w:rsidR="002A591D">
        <w:rPr>
          <w:rFonts w:ascii="Garamond" w:hAnsi="Garamond"/>
          <w:color w:val="000000" w:themeColor="text1"/>
        </w:rPr>
        <w:t>, puis du décret</w:t>
      </w:r>
      <w:r w:rsidRPr="00A76C93">
        <w:rPr>
          <w:rFonts w:ascii="Garamond" w:hAnsi="Garamond"/>
          <w:color w:val="000000" w:themeColor="text1"/>
        </w:rPr>
        <w:t xml:space="preserve"> n°</w:t>
      </w:r>
      <w:r w:rsidR="002A591D">
        <w:rPr>
          <w:rFonts w:ascii="Garamond" w:hAnsi="Garamond"/>
          <w:color w:val="000000" w:themeColor="text1"/>
        </w:rPr>
        <w:t> </w:t>
      </w:r>
      <w:r w:rsidRPr="00A76C93">
        <w:rPr>
          <w:rFonts w:ascii="Garamond" w:hAnsi="Garamond"/>
          <w:color w:val="000000" w:themeColor="text1"/>
        </w:rPr>
        <w:t>2022-129</w:t>
      </w:r>
      <w:r w:rsidR="002A591D">
        <w:rPr>
          <w:rFonts w:ascii="Garamond" w:hAnsi="Garamond"/>
          <w:color w:val="000000" w:themeColor="text1"/>
        </w:rPr>
        <w:t xml:space="preserve">5 </w:t>
      </w:r>
      <w:r w:rsidR="002A591D" w:rsidRPr="002A591D">
        <w:rPr>
          <w:rFonts w:ascii="Garamond" w:hAnsi="Garamond"/>
          <w:color w:val="000000" w:themeColor="text1"/>
        </w:rPr>
        <w:t>relatif à l</w:t>
      </w:r>
      <w:r w:rsidR="00F86CA7">
        <w:rPr>
          <w:rFonts w:ascii="Garamond" w:hAnsi="Garamond"/>
          <w:color w:val="000000" w:themeColor="text1"/>
        </w:rPr>
        <w:t>’</w:t>
      </w:r>
      <w:r w:rsidR="002A591D" w:rsidRPr="002A591D">
        <w:rPr>
          <w:rFonts w:ascii="Garamond" w:hAnsi="Garamond"/>
          <w:color w:val="000000" w:themeColor="text1"/>
        </w:rPr>
        <w:t>obligation de fermeture des ouvrants des bâtiments ou parties de bâtiments à usage tertiaire, chauffés ou refroidis</w:t>
      </w:r>
      <w:r w:rsidR="002A591D">
        <w:rPr>
          <w:rFonts w:ascii="Garamond" w:hAnsi="Garamond"/>
          <w:color w:val="000000" w:themeColor="text1"/>
        </w:rPr>
        <w:t>.</w:t>
      </w:r>
    </w:p>
    <w:p w14:paraId="158421E3" w14:textId="77777777" w:rsidR="00A76C93" w:rsidRPr="00A76C93" w:rsidRDefault="00A76C93" w:rsidP="00A76C93">
      <w:pPr>
        <w:tabs>
          <w:tab w:val="left" w:pos="6440"/>
        </w:tabs>
        <w:spacing w:line="252" w:lineRule="auto"/>
        <w:jc w:val="both"/>
        <w:rPr>
          <w:rFonts w:ascii="Garamond" w:hAnsi="Garamond"/>
          <w:color w:val="000000" w:themeColor="text1"/>
        </w:rPr>
      </w:pPr>
    </w:p>
    <w:p w14:paraId="0914C14F" w14:textId="5FA5DD1F" w:rsidR="00A76C93" w:rsidRPr="00A76C93" w:rsidRDefault="002A591D" w:rsidP="00A76C93">
      <w:pPr>
        <w:tabs>
          <w:tab w:val="left" w:pos="6440"/>
        </w:tabs>
        <w:spacing w:line="252" w:lineRule="auto"/>
        <w:jc w:val="both"/>
        <w:rPr>
          <w:rFonts w:ascii="Garamond" w:hAnsi="Garamond"/>
          <w:color w:val="000000" w:themeColor="text1"/>
        </w:rPr>
      </w:pPr>
      <w:r>
        <w:rPr>
          <w:rFonts w:ascii="Garamond" w:hAnsi="Garamond"/>
          <w:color w:val="000000" w:themeColor="text1"/>
        </w:rPr>
        <w:t>Il en va de même des mesures ayant réitéré</w:t>
      </w:r>
      <w:r w:rsidR="00A76C93" w:rsidRPr="00A76C93">
        <w:rPr>
          <w:rFonts w:ascii="Garamond" w:hAnsi="Garamond"/>
          <w:color w:val="000000" w:themeColor="text1"/>
        </w:rPr>
        <w:t xml:space="preserve"> des obligations anciennes</w:t>
      </w:r>
      <w:r>
        <w:rPr>
          <w:rFonts w:ascii="Garamond" w:hAnsi="Garamond"/>
          <w:color w:val="000000" w:themeColor="text1"/>
        </w:rPr>
        <w:t xml:space="preserve">, </w:t>
      </w:r>
      <w:r w:rsidR="00A76C93" w:rsidRPr="00A76C93">
        <w:rPr>
          <w:rFonts w:ascii="Garamond" w:hAnsi="Garamond"/>
          <w:color w:val="000000" w:themeColor="text1"/>
        </w:rPr>
        <w:t xml:space="preserve">ou </w:t>
      </w:r>
      <w:r>
        <w:rPr>
          <w:rFonts w:ascii="Garamond" w:hAnsi="Garamond"/>
          <w:color w:val="000000" w:themeColor="text1"/>
        </w:rPr>
        <w:t>remis</w:t>
      </w:r>
      <w:r w:rsidR="00A76C93" w:rsidRPr="00A76C93">
        <w:rPr>
          <w:rFonts w:ascii="Garamond" w:hAnsi="Garamond"/>
          <w:color w:val="000000" w:themeColor="text1"/>
        </w:rPr>
        <w:t xml:space="preserve"> à plus tard leur caractère obligatoire. </w:t>
      </w:r>
    </w:p>
    <w:p w14:paraId="7C489DE1" w14:textId="77777777" w:rsidR="00A76C93" w:rsidRPr="00A76C93" w:rsidRDefault="00A76C93" w:rsidP="00A76C93">
      <w:pPr>
        <w:tabs>
          <w:tab w:val="left" w:pos="6440"/>
        </w:tabs>
        <w:spacing w:line="252" w:lineRule="auto"/>
        <w:jc w:val="both"/>
        <w:rPr>
          <w:rFonts w:ascii="Garamond" w:hAnsi="Garamond"/>
          <w:color w:val="000000" w:themeColor="text1"/>
        </w:rPr>
      </w:pPr>
    </w:p>
    <w:p w14:paraId="0FD6B1B4" w14:textId="480D2B4A" w:rsidR="004746BB"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Ainsi, </w:t>
      </w:r>
      <w:r w:rsidR="004746BB">
        <w:rPr>
          <w:rFonts w:ascii="Garamond" w:hAnsi="Garamond"/>
          <w:color w:val="000000" w:themeColor="text1"/>
        </w:rPr>
        <w:t>à titre d</w:t>
      </w:r>
      <w:r w:rsidR="00F86CA7">
        <w:rPr>
          <w:rFonts w:ascii="Garamond" w:hAnsi="Garamond"/>
          <w:color w:val="000000" w:themeColor="text1"/>
        </w:rPr>
        <w:t>’</w:t>
      </w:r>
      <w:r w:rsidR="004746BB">
        <w:rPr>
          <w:rFonts w:ascii="Garamond" w:hAnsi="Garamond"/>
          <w:color w:val="000000" w:themeColor="text1"/>
        </w:rPr>
        <w:t xml:space="preserve">illustration, </w:t>
      </w:r>
      <w:r w:rsidRPr="00A76C93">
        <w:rPr>
          <w:rFonts w:ascii="Garamond" w:hAnsi="Garamond"/>
          <w:color w:val="000000" w:themeColor="text1"/>
        </w:rPr>
        <w:t>le décret n°</w:t>
      </w:r>
      <w:r w:rsidR="004746BB">
        <w:rPr>
          <w:rFonts w:ascii="Garamond" w:hAnsi="Garamond"/>
          <w:color w:val="000000" w:themeColor="text1"/>
        </w:rPr>
        <w:t> </w:t>
      </w:r>
      <w:r w:rsidRPr="00A76C93">
        <w:rPr>
          <w:rFonts w:ascii="Garamond" w:hAnsi="Garamond"/>
          <w:color w:val="000000" w:themeColor="text1"/>
        </w:rPr>
        <w:t>2022-1294</w:t>
      </w:r>
      <w:r w:rsidR="004746BB">
        <w:rPr>
          <w:rFonts w:ascii="Garamond" w:hAnsi="Garamond"/>
          <w:color w:val="000000" w:themeColor="text1"/>
        </w:rPr>
        <w:t xml:space="preserve"> </w:t>
      </w:r>
      <w:r w:rsidRPr="00A76C93">
        <w:rPr>
          <w:rFonts w:ascii="Garamond" w:hAnsi="Garamond"/>
          <w:color w:val="000000" w:themeColor="text1"/>
        </w:rPr>
        <w:t xml:space="preserve">relatif à </w:t>
      </w:r>
      <w:r w:rsidR="004746BB">
        <w:rPr>
          <w:rFonts w:ascii="Garamond" w:hAnsi="Garamond"/>
          <w:color w:val="000000" w:themeColor="text1"/>
        </w:rPr>
        <w:t>l</w:t>
      </w:r>
      <w:r w:rsidR="00F86CA7">
        <w:rPr>
          <w:rFonts w:ascii="Garamond" w:hAnsi="Garamond"/>
          <w:color w:val="000000" w:themeColor="text1"/>
        </w:rPr>
        <w:t>’</w:t>
      </w:r>
      <w:r w:rsidR="004746BB">
        <w:rPr>
          <w:rFonts w:ascii="Garamond" w:hAnsi="Garamond"/>
          <w:color w:val="000000" w:themeColor="text1"/>
        </w:rPr>
        <w:t>extinction d</w:t>
      </w:r>
      <w:r w:rsidRPr="00A76C93">
        <w:rPr>
          <w:rFonts w:ascii="Garamond" w:hAnsi="Garamond"/>
          <w:color w:val="000000" w:themeColor="text1"/>
        </w:rPr>
        <w:t>es enseignes et publicités lumineuses ne fait qu</w:t>
      </w:r>
      <w:r w:rsidR="00F86CA7">
        <w:rPr>
          <w:rFonts w:ascii="Garamond" w:hAnsi="Garamond"/>
          <w:color w:val="000000" w:themeColor="text1"/>
        </w:rPr>
        <w:t>’</w:t>
      </w:r>
      <w:r w:rsidRPr="00A76C93">
        <w:rPr>
          <w:rFonts w:ascii="Garamond" w:hAnsi="Garamond"/>
          <w:color w:val="000000" w:themeColor="text1"/>
        </w:rPr>
        <w:t>étendre la portée d</w:t>
      </w:r>
      <w:r w:rsidR="00F86CA7">
        <w:rPr>
          <w:rFonts w:ascii="Garamond" w:hAnsi="Garamond"/>
          <w:color w:val="000000" w:themeColor="text1"/>
        </w:rPr>
        <w:t>’</w:t>
      </w:r>
      <w:r w:rsidRPr="00A76C93">
        <w:rPr>
          <w:rFonts w:ascii="Garamond" w:hAnsi="Garamond"/>
          <w:color w:val="000000" w:themeColor="text1"/>
        </w:rPr>
        <w:t>une obligation acquise</w:t>
      </w:r>
      <w:r w:rsidR="004746BB">
        <w:rPr>
          <w:rFonts w:ascii="Garamond" w:hAnsi="Garamond"/>
          <w:color w:val="000000" w:themeColor="text1"/>
        </w:rPr>
        <w:t>,</w:t>
      </w:r>
      <w:r w:rsidRPr="00A76C93">
        <w:rPr>
          <w:rFonts w:ascii="Garamond" w:hAnsi="Garamond"/>
          <w:color w:val="000000" w:themeColor="text1"/>
        </w:rPr>
        <w:t xml:space="preserve"> de longue date</w:t>
      </w:r>
      <w:r w:rsidR="004746BB">
        <w:rPr>
          <w:rFonts w:ascii="Garamond" w:hAnsi="Garamond"/>
          <w:color w:val="000000" w:themeColor="text1"/>
        </w:rPr>
        <w:t>,</w:t>
      </w:r>
      <w:r w:rsidRPr="00A76C93">
        <w:rPr>
          <w:rFonts w:ascii="Garamond" w:hAnsi="Garamond"/>
          <w:color w:val="000000" w:themeColor="text1"/>
        </w:rPr>
        <w:t xml:space="preserve"> dans les agglomérations de plus de 800</w:t>
      </w:r>
      <w:r w:rsidR="004746BB">
        <w:rPr>
          <w:rFonts w:ascii="Garamond" w:hAnsi="Garamond"/>
          <w:color w:val="000000" w:themeColor="text1"/>
        </w:rPr>
        <w:t> </w:t>
      </w:r>
      <w:r w:rsidRPr="00A76C93">
        <w:rPr>
          <w:rFonts w:ascii="Garamond" w:hAnsi="Garamond"/>
          <w:color w:val="000000" w:themeColor="text1"/>
        </w:rPr>
        <w:t xml:space="preserve">000 habitants. </w:t>
      </w:r>
    </w:p>
    <w:p w14:paraId="5C65FF6C" w14:textId="77777777" w:rsidR="004746BB" w:rsidRDefault="004746BB" w:rsidP="00A76C93">
      <w:pPr>
        <w:tabs>
          <w:tab w:val="left" w:pos="6440"/>
        </w:tabs>
        <w:spacing w:line="252" w:lineRule="auto"/>
        <w:jc w:val="both"/>
        <w:rPr>
          <w:rFonts w:ascii="Garamond" w:hAnsi="Garamond"/>
          <w:color w:val="000000" w:themeColor="text1"/>
        </w:rPr>
      </w:pPr>
    </w:p>
    <w:p w14:paraId="310EDE20" w14:textId="1D9DB745" w:rsidR="004746BB"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De même, s</w:t>
      </w:r>
      <w:r w:rsidR="00F86CA7">
        <w:rPr>
          <w:rFonts w:ascii="Garamond" w:hAnsi="Garamond"/>
          <w:color w:val="000000" w:themeColor="text1"/>
        </w:rPr>
        <w:t>’</w:t>
      </w:r>
      <w:r w:rsidRPr="00A76C93">
        <w:rPr>
          <w:rFonts w:ascii="Garamond" w:hAnsi="Garamond"/>
          <w:color w:val="000000" w:themeColor="text1"/>
        </w:rPr>
        <w:t>agissant de l</w:t>
      </w:r>
      <w:r w:rsidR="00F86CA7">
        <w:rPr>
          <w:rFonts w:ascii="Garamond" w:hAnsi="Garamond"/>
          <w:color w:val="000000" w:themeColor="text1"/>
        </w:rPr>
        <w:t>’</w:t>
      </w:r>
      <w:r w:rsidRPr="00A76C93">
        <w:rPr>
          <w:rFonts w:ascii="Garamond" w:hAnsi="Garamond"/>
          <w:color w:val="000000" w:themeColor="text1"/>
        </w:rPr>
        <w:t>individualisation des frais de chauffage, cette obligation a</w:t>
      </w:r>
      <w:r w:rsidR="004746BB">
        <w:rPr>
          <w:rFonts w:ascii="Garamond" w:hAnsi="Garamond"/>
          <w:color w:val="000000" w:themeColor="text1"/>
        </w:rPr>
        <w:t>vait</w:t>
      </w:r>
      <w:r w:rsidRPr="00A76C93">
        <w:rPr>
          <w:rFonts w:ascii="Garamond" w:hAnsi="Garamond"/>
          <w:color w:val="000000" w:themeColor="text1"/>
        </w:rPr>
        <w:t xml:space="preserve"> été introduite en droit positif </w:t>
      </w:r>
      <w:r w:rsidR="004746BB">
        <w:rPr>
          <w:rFonts w:ascii="Garamond" w:hAnsi="Garamond"/>
          <w:color w:val="000000" w:themeColor="text1"/>
        </w:rPr>
        <w:t>par</w:t>
      </w:r>
      <w:r w:rsidRPr="00A76C93">
        <w:rPr>
          <w:rFonts w:ascii="Garamond" w:hAnsi="Garamond"/>
          <w:color w:val="000000" w:themeColor="text1"/>
        </w:rPr>
        <w:t xml:space="preserve"> l</w:t>
      </w:r>
      <w:r w:rsidR="00F86CA7">
        <w:rPr>
          <w:rFonts w:ascii="Garamond" w:hAnsi="Garamond"/>
          <w:color w:val="000000" w:themeColor="text1"/>
        </w:rPr>
        <w:t>’</w:t>
      </w:r>
      <w:r w:rsidRPr="00A76C93">
        <w:rPr>
          <w:rFonts w:ascii="Garamond" w:hAnsi="Garamond"/>
          <w:color w:val="000000" w:themeColor="text1"/>
        </w:rPr>
        <w:t>article 71 de la loi n°</w:t>
      </w:r>
      <w:r w:rsidR="004746BB">
        <w:rPr>
          <w:rFonts w:ascii="Garamond" w:hAnsi="Garamond"/>
          <w:color w:val="000000" w:themeColor="text1"/>
        </w:rPr>
        <w:t> </w:t>
      </w:r>
      <w:r w:rsidRPr="00A76C93">
        <w:rPr>
          <w:rFonts w:ascii="Garamond" w:hAnsi="Garamond"/>
          <w:color w:val="000000" w:themeColor="text1"/>
        </w:rPr>
        <w:t>2018-1021 du 23 novembre 2018 portant évolution du logement, de l</w:t>
      </w:r>
      <w:r w:rsidR="00F86CA7">
        <w:rPr>
          <w:rFonts w:ascii="Garamond" w:hAnsi="Garamond"/>
          <w:color w:val="000000" w:themeColor="text1"/>
        </w:rPr>
        <w:t>’</w:t>
      </w:r>
      <w:r w:rsidRPr="00A76C93">
        <w:rPr>
          <w:rFonts w:ascii="Garamond" w:hAnsi="Garamond"/>
          <w:color w:val="000000" w:themeColor="text1"/>
        </w:rPr>
        <w:t xml:space="preserve">aménagement et du numérique. </w:t>
      </w:r>
    </w:p>
    <w:p w14:paraId="2E5E9400" w14:textId="77777777" w:rsidR="004746BB" w:rsidRDefault="004746BB" w:rsidP="00A76C93">
      <w:pPr>
        <w:tabs>
          <w:tab w:val="left" w:pos="6440"/>
        </w:tabs>
        <w:spacing w:line="252" w:lineRule="auto"/>
        <w:jc w:val="both"/>
        <w:rPr>
          <w:rFonts w:ascii="Garamond" w:hAnsi="Garamond"/>
          <w:color w:val="000000" w:themeColor="text1"/>
        </w:rPr>
      </w:pPr>
    </w:p>
    <w:p w14:paraId="08DDCB0F" w14:textId="6EA7C631" w:rsidR="00A76C93" w:rsidRP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Enfin</w:t>
      </w:r>
      <w:r w:rsidR="00A76C93" w:rsidRPr="00A76C93">
        <w:rPr>
          <w:rFonts w:ascii="Garamond" w:hAnsi="Garamond"/>
          <w:color w:val="000000" w:themeColor="text1"/>
        </w:rPr>
        <w:t>, s</w:t>
      </w:r>
      <w:r w:rsidR="00F86CA7">
        <w:rPr>
          <w:rFonts w:ascii="Garamond" w:hAnsi="Garamond"/>
          <w:color w:val="000000" w:themeColor="text1"/>
        </w:rPr>
        <w:t>’</w:t>
      </w:r>
      <w:r w:rsidR="00A76C93" w:rsidRPr="00A76C93">
        <w:rPr>
          <w:rFonts w:ascii="Garamond" w:hAnsi="Garamond"/>
          <w:color w:val="000000" w:themeColor="text1"/>
        </w:rPr>
        <w:t>agissant de l</w:t>
      </w:r>
      <w:r w:rsidR="00F86CA7">
        <w:rPr>
          <w:rFonts w:ascii="Garamond" w:hAnsi="Garamond"/>
          <w:color w:val="000000" w:themeColor="text1"/>
        </w:rPr>
        <w:t>’</w:t>
      </w:r>
      <w:r w:rsidR="00A76C93" w:rsidRPr="00A76C93">
        <w:rPr>
          <w:rFonts w:ascii="Garamond" w:hAnsi="Garamond"/>
          <w:color w:val="000000" w:themeColor="text1"/>
        </w:rPr>
        <w:t>introduction de thermostats de chauffage</w:t>
      </w:r>
      <w:r>
        <w:rPr>
          <w:rFonts w:ascii="Garamond" w:hAnsi="Garamond"/>
          <w:color w:val="000000" w:themeColor="text1"/>
        </w:rPr>
        <w:t xml:space="preserve"> </w:t>
      </w:r>
      <w:r w:rsidR="00A76C93" w:rsidRPr="00A76C93">
        <w:rPr>
          <w:rFonts w:ascii="Garamond" w:hAnsi="Garamond"/>
          <w:color w:val="000000" w:themeColor="text1"/>
        </w:rPr>
        <w:t>dans le secteur résidentiel, l</w:t>
      </w:r>
      <w:r w:rsidR="00F86CA7">
        <w:rPr>
          <w:rFonts w:ascii="Garamond" w:hAnsi="Garamond"/>
          <w:color w:val="000000" w:themeColor="text1"/>
        </w:rPr>
        <w:t>’</w:t>
      </w:r>
      <w:r w:rsidR="00A76C93" w:rsidRPr="00A76C93">
        <w:rPr>
          <w:rFonts w:ascii="Garamond" w:hAnsi="Garamond"/>
          <w:color w:val="000000" w:themeColor="text1"/>
        </w:rPr>
        <w:t xml:space="preserve">arrêté </w:t>
      </w:r>
      <w:r>
        <w:rPr>
          <w:rFonts w:ascii="Garamond" w:hAnsi="Garamond"/>
          <w:color w:val="000000" w:themeColor="text1"/>
        </w:rPr>
        <w:t>– d</w:t>
      </w:r>
      <w:r w:rsidR="00F86CA7">
        <w:rPr>
          <w:rFonts w:ascii="Garamond" w:hAnsi="Garamond"/>
          <w:color w:val="000000" w:themeColor="text1"/>
        </w:rPr>
        <w:t>’</w:t>
      </w:r>
      <w:r>
        <w:rPr>
          <w:rFonts w:ascii="Garamond" w:hAnsi="Garamond"/>
          <w:color w:val="000000" w:themeColor="text1"/>
        </w:rPr>
        <w:t xml:space="preserve">ores et déjà </w:t>
      </w:r>
      <w:r w:rsidR="00A76C93" w:rsidRPr="00A76C93">
        <w:rPr>
          <w:rFonts w:ascii="Garamond" w:hAnsi="Garamond"/>
          <w:color w:val="000000" w:themeColor="text1"/>
        </w:rPr>
        <w:t xml:space="preserve">tardif </w:t>
      </w:r>
      <w:r>
        <w:rPr>
          <w:rFonts w:ascii="Garamond" w:hAnsi="Garamond"/>
          <w:color w:val="000000" w:themeColor="text1"/>
        </w:rPr>
        <w:t xml:space="preserve">– </w:t>
      </w:r>
      <w:r w:rsidR="00A76C93" w:rsidRPr="00A76C93">
        <w:rPr>
          <w:rFonts w:ascii="Garamond" w:hAnsi="Garamond"/>
          <w:color w:val="000000" w:themeColor="text1"/>
        </w:rPr>
        <w:t>du 22 novembre 2022</w:t>
      </w:r>
      <w:r>
        <w:rPr>
          <w:rFonts w:ascii="Garamond" w:hAnsi="Garamond"/>
          <w:color w:val="000000" w:themeColor="text1"/>
        </w:rPr>
        <w:t xml:space="preserve"> </w:t>
      </w:r>
      <w:r w:rsidRPr="004746BB">
        <w:rPr>
          <w:rFonts w:ascii="Garamond" w:hAnsi="Garamond"/>
          <w:color w:val="000000" w:themeColor="text1"/>
        </w:rPr>
        <w:t>relatif au contrôle et à l</w:t>
      </w:r>
      <w:r w:rsidR="00F86CA7">
        <w:rPr>
          <w:rFonts w:ascii="Garamond" w:hAnsi="Garamond"/>
          <w:color w:val="000000" w:themeColor="text1"/>
        </w:rPr>
        <w:t>’</w:t>
      </w:r>
      <w:r w:rsidRPr="004746BB">
        <w:rPr>
          <w:rFonts w:ascii="Garamond" w:hAnsi="Garamond"/>
          <w:color w:val="000000" w:themeColor="text1"/>
        </w:rPr>
        <w:t>entretien des chaudières et des systèmes thermodynamiqu</w:t>
      </w:r>
      <w:r>
        <w:rPr>
          <w:rFonts w:ascii="Garamond" w:hAnsi="Garamond"/>
          <w:color w:val="000000" w:themeColor="text1"/>
        </w:rPr>
        <w:t xml:space="preserve">es </w:t>
      </w:r>
      <w:r w:rsidR="00A76C93" w:rsidRPr="00A76C93">
        <w:rPr>
          <w:rFonts w:ascii="Garamond" w:hAnsi="Garamond"/>
          <w:color w:val="000000" w:themeColor="text1"/>
        </w:rPr>
        <w:t>n</w:t>
      </w:r>
      <w:r w:rsidR="00F86CA7">
        <w:rPr>
          <w:rFonts w:ascii="Garamond" w:hAnsi="Garamond"/>
          <w:color w:val="000000" w:themeColor="text1"/>
        </w:rPr>
        <w:t>’</w:t>
      </w:r>
      <w:r w:rsidR="00A76C93" w:rsidRPr="00A76C93">
        <w:rPr>
          <w:rFonts w:ascii="Garamond" w:hAnsi="Garamond"/>
          <w:color w:val="000000" w:themeColor="text1"/>
        </w:rPr>
        <w:t>impose que la vérification de la présence d</w:t>
      </w:r>
      <w:r w:rsidR="00F86CA7">
        <w:rPr>
          <w:rFonts w:ascii="Garamond" w:hAnsi="Garamond"/>
          <w:color w:val="000000" w:themeColor="text1"/>
        </w:rPr>
        <w:t>’</w:t>
      </w:r>
      <w:r w:rsidR="00A76C93" w:rsidRPr="00A76C93">
        <w:rPr>
          <w:rFonts w:ascii="Garamond" w:hAnsi="Garamond"/>
          <w:color w:val="000000" w:themeColor="text1"/>
        </w:rPr>
        <w:t xml:space="preserve">un thermostat et de son bon fonctionnement dans le secteur résidentiel. </w:t>
      </w:r>
      <w:r>
        <w:rPr>
          <w:rFonts w:ascii="Garamond" w:hAnsi="Garamond"/>
          <w:color w:val="000000" w:themeColor="text1"/>
        </w:rPr>
        <w:t>Et</w:t>
      </w:r>
      <w:r w:rsidR="00A76C93" w:rsidRPr="00A76C93">
        <w:rPr>
          <w:rFonts w:ascii="Garamond" w:hAnsi="Garamond"/>
          <w:color w:val="000000" w:themeColor="text1"/>
        </w:rPr>
        <w:t xml:space="preserve"> s</w:t>
      </w:r>
      <w:r w:rsidR="00F86CA7">
        <w:rPr>
          <w:rFonts w:ascii="Garamond" w:hAnsi="Garamond"/>
          <w:color w:val="000000" w:themeColor="text1"/>
        </w:rPr>
        <w:t>’</w:t>
      </w:r>
      <w:r w:rsidR="00A76C93" w:rsidRPr="00A76C93">
        <w:rPr>
          <w:rFonts w:ascii="Garamond" w:hAnsi="Garamond"/>
          <w:color w:val="000000" w:themeColor="text1"/>
        </w:rPr>
        <w:t>agissant du secteur tertiaire, si l</w:t>
      </w:r>
      <w:r w:rsidR="00F86CA7">
        <w:rPr>
          <w:rFonts w:ascii="Garamond" w:hAnsi="Garamond"/>
          <w:color w:val="000000" w:themeColor="text1"/>
        </w:rPr>
        <w:t>’</w:t>
      </w:r>
      <w:r w:rsidR="00A76C93" w:rsidRPr="00A76C93">
        <w:rPr>
          <w:rFonts w:ascii="Garamond" w:hAnsi="Garamond"/>
          <w:color w:val="000000" w:themeColor="text1"/>
        </w:rPr>
        <w:t>arrêté prévoit que les immeubles de bureaux ou les bâtiments dans lesquels sont exercées des activités tertiaires devront tous être doté</w:t>
      </w:r>
      <w:r>
        <w:rPr>
          <w:rFonts w:ascii="Garamond" w:hAnsi="Garamond"/>
          <w:color w:val="000000" w:themeColor="text1"/>
        </w:rPr>
        <w:t>s</w:t>
      </w:r>
      <w:r w:rsidR="00A76C93" w:rsidRPr="00A76C93">
        <w:rPr>
          <w:rFonts w:ascii="Garamond" w:hAnsi="Garamond"/>
          <w:color w:val="000000" w:themeColor="text1"/>
        </w:rPr>
        <w:t xml:space="preserve"> d</w:t>
      </w:r>
      <w:r w:rsidR="00F86CA7">
        <w:rPr>
          <w:rFonts w:ascii="Garamond" w:hAnsi="Garamond"/>
          <w:color w:val="000000" w:themeColor="text1"/>
        </w:rPr>
        <w:t>’</w:t>
      </w:r>
      <w:r w:rsidR="00A76C93" w:rsidRPr="00A76C93">
        <w:rPr>
          <w:rFonts w:ascii="Garamond" w:hAnsi="Garamond"/>
          <w:color w:val="000000" w:themeColor="text1"/>
        </w:rPr>
        <w:t>un système de gestion technique des bâtiments, ce système ne sera obligatoire que dans plusieurs années : à partir du 1</w:t>
      </w:r>
      <w:r w:rsidR="00A76C93" w:rsidRPr="00A76C93">
        <w:rPr>
          <w:rFonts w:ascii="Garamond" w:hAnsi="Garamond"/>
          <w:color w:val="000000" w:themeColor="text1"/>
          <w:vertAlign w:val="superscript"/>
        </w:rPr>
        <w:t>er </w:t>
      </w:r>
      <w:r w:rsidR="00A76C93" w:rsidRPr="00A76C93">
        <w:rPr>
          <w:rFonts w:ascii="Garamond" w:hAnsi="Garamond"/>
          <w:color w:val="000000" w:themeColor="text1"/>
        </w:rPr>
        <w:t>janvier</w:t>
      </w:r>
      <w:r>
        <w:rPr>
          <w:rFonts w:ascii="Garamond" w:hAnsi="Garamond"/>
          <w:color w:val="000000" w:themeColor="text1"/>
        </w:rPr>
        <w:t xml:space="preserve"> </w:t>
      </w:r>
      <w:r w:rsidR="00A76C93" w:rsidRPr="00A76C93">
        <w:rPr>
          <w:rFonts w:ascii="Garamond" w:hAnsi="Garamond"/>
          <w:color w:val="000000" w:themeColor="text1"/>
        </w:rPr>
        <w:t>2025 pour les bâtiments ayant un système de chauffage ou de climatisation d</w:t>
      </w:r>
      <w:r w:rsidR="00F86CA7">
        <w:rPr>
          <w:rFonts w:ascii="Garamond" w:hAnsi="Garamond"/>
          <w:color w:val="000000" w:themeColor="text1"/>
        </w:rPr>
        <w:t>’</w:t>
      </w:r>
      <w:r w:rsidR="00A76C93" w:rsidRPr="00A76C93">
        <w:rPr>
          <w:rFonts w:ascii="Garamond" w:hAnsi="Garamond"/>
          <w:color w:val="000000" w:themeColor="text1"/>
        </w:rPr>
        <w:t>une puissance supérieure à 290 kW, puis à partir du 1</w:t>
      </w:r>
      <w:r w:rsidR="00A76C93" w:rsidRPr="00A76C93">
        <w:rPr>
          <w:rFonts w:ascii="Garamond" w:hAnsi="Garamond"/>
          <w:color w:val="000000" w:themeColor="text1"/>
          <w:vertAlign w:val="superscript"/>
        </w:rPr>
        <w:t>er</w:t>
      </w:r>
      <w:r>
        <w:rPr>
          <w:rFonts w:ascii="Garamond" w:hAnsi="Garamond"/>
          <w:color w:val="000000" w:themeColor="text1"/>
        </w:rPr>
        <w:t xml:space="preserve"> </w:t>
      </w:r>
      <w:r w:rsidR="00A76C93" w:rsidRPr="00A76C93">
        <w:rPr>
          <w:rFonts w:ascii="Garamond" w:hAnsi="Garamond"/>
          <w:color w:val="000000" w:themeColor="text1"/>
        </w:rPr>
        <w:t>janvier</w:t>
      </w:r>
      <w:r>
        <w:rPr>
          <w:rFonts w:ascii="Garamond" w:hAnsi="Garamond"/>
          <w:color w:val="000000" w:themeColor="text1"/>
        </w:rPr>
        <w:t xml:space="preserve"> </w:t>
      </w:r>
      <w:r w:rsidR="00A76C93" w:rsidRPr="00A76C93">
        <w:rPr>
          <w:rFonts w:ascii="Garamond" w:hAnsi="Garamond"/>
          <w:color w:val="000000" w:themeColor="text1"/>
        </w:rPr>
        <w:t>2027</w:t>
      </w:r>
      <w:r>
        <w:rPr>
          <w:rFonts w:ascii="Garamond" w:hAnsi="Garamond"/>
          <w:color w:val="000000" w:themeColor="text1"/>
        </w:rPr>
        <w:t xml:space="preserve"> pour</w:t>
      </w:r>
      <w:r w:rsidRPr="00A76C93">
        <w:rPr>
          <w:rFonts w:ascii="Garamond" w:hAnsi="Garamond"/>
          <w:color w:val="000000" w:themeColor="text1"/>
        </w:rPr>
        <w:t xml:space="preserve"> le seuil de 70 kW</w:t>
      </w:r>
      <w:r w:rsidR="00A76C93" w:rsidRPr="00A76C93">
        <w:rPr>
          <w:rFonts w:ascii="Garamond" w:hAnsi="Garamond"/>
          <w:color w:val="000000" w:themeColor="text1"/>
        </w:rPr>
        <w:t>.</w:t>
      </w:r>
    </w:p>
    <w:p w14:paraId="3FC3BDEA" w14:textId="77777777" w:rsidR="00A76C93" w:rsidRPr="00A76C93" w:rsidRDefault="00A76C93" w:rsidP="00A76C93">
      <w:pPr>
        <w:tabs>
          <w:tab w:val="left" w:pos="6440"/>
        </w:tabs>
        <w:spacing w:line="252" w:lineRule="auto"/>
        <w:jc w:val="both"/>
        <w:rPr>
          <w:rFonts w:ascii="Garamond" w:hAnsi="Garamond"/>
          <w:color w:val="000000" w:themeColor="text1"/>
        </w:rPr>
      </w:pPr>
    </w:p>
    <w:p w14:paraId="53598E14" w14:textId="591ED8D4"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Par conséquent, eu égard à leur portée, </w:t>
      </w:r>
      <w:r w:rsidR="004746BB">
        <w:rPr>
          <w:rFonts w:ascii="Garamond" w:hAnsi="Garamond"/>
          <w:color w:val="000000" w:themeColor="text1"/>
        </w:rPr>
        <w:t>de telles mesures</w:t>
      </w:r>
      <w:r w:rsidRPr="00A76C93">
        <w:rPr>
          <w:rFonts w:ascii="Garamond" w:hAnsi="Garamond"/>
          <w:color w:val="000000" w:themeColor="text1"/>
        </w:rPr>
        <w:t xml:space="preserve"> ne </w:t>
      </w:r>
      <w:r w:rsidR="004746BB">
        <w:rPr>
          <w:rFonts w:ascii="Garamond" w:hAnsi="Garamond"/>
          <w:color w:val="000000" w:themeColor="text1"/>
        </w:rPr>
        <w:t>sauraient s</w:t>
      </w:r>
      <w:r w:rsidR="00F86CA7">
        <w:rPr>
          <w:rFonts w:ascii="Garamond" w:hAnsi="Garamond"/>
          <w:color w:val="000000" w:themeColor="text1"/>
        </w:rPr>
        <w:t>’</w:t>
      </w:r>
      <w:r w:rsidR="004746BB">
        <w:rPr>
          <w:rFonts w:ascii="Garamond" w:hAnsi="Garamond"/>
          <w:color w:val="000000" w:themeColor="text1"/>
        </w:rPr>
        <w:t>analyser comme</w:t>
      </w:r>
      <w:r w:rsidRPr="00A76C93">
        <w:rPr>
          <w:rFonts w:ascii="Garamond" w:hAnsi="Garamond"/>
          <w:color w:val="000000" w:themeColor="text1"/>
        </w:rPr>
        <w:t xml:space="preserve"> la cause principale de</w:t>
      </w:r>
      <w:r w:rsidR="004746BB">
        <w:rPr>
          <w:rFonts w:ascii="Garamond" w:hAnsi="Garamond"/>
          <w:color w:val="000000" w:themeColor="text1"/>
        </w:rPr>
        <w:t>s</w:t>
      </w:r>
      <w:r w:rsidRPr="00A76C93">
        <w:rPr>
          <w:rFonts w:ascii="Garamond" w:hAnsi="Garamond"/>
          <w:color w:val="000000" w:themeColor="text1"/>
        </w:rPr>
        <w:t xml:space="preserve"> </w:t>
      </w:r>
      <w:r w:rsidR="004746BB">
        <w:rPr>
          <w:rFonts w:ascii="Garamond" w:hAnsi="Garamond"/>
          <w:color w:val="000000" w:themeColor="text1"/>
        </w:rPr>
        <w:t>baisses constatées</w:t>
      </w:r>
      <w:r w:rsidRPr="00A76C93">
        <w:rPr>
          <w:rFonts w:ascii="Garamond" w:hAnsi="Garamond"/>
          <w:color w:val="000000" w:themeColor="text1"/>
        </w:rPr>
        <w:t xml:space="preserve"> </w:t>
      </w:r>
      <w:r w:rsidR="004746BB" w:rsidRPr="00A76C93">
        <w:rPr>
          <w:rFonts w:ascii="Garamond" w:hAnsi="Garamond"/>
          <w:color w:val="000000" w:themeColor="text1"/>
        </w:rPr>
        <w:t>en matière de chauffage, d</w:t>
      </w:r>
      <w:r w:rsidR="00F86CA7">
        <w:rPr>
          <w:rFonts w:ascii="Garamond" w:hAnsi="Garamond"/>
          <w:color w:val="000000" w:themeColor="text1"/>
        </w:rPr>
        <w:t>’</w:t>
      </w:r>
      <w:r w:rsidR="004746BB" w:rsidRPr="00A76C93">
        <w:rPr>
          <w:rFonts w:ascii="Garamond" w:hAnsi="Garamond"/>
          <w:color w:val="000000" w:themeColor="text1"/>
        </w:rPr>
        <w:t>eau chaude sanitaire et de cuisson</w:t>
      </w:r>
      <w:r w:rsidR="004746BB">
        <w:rPr>
          <w:rFonts w:ascii="Garamond" w:hAnsi="Garamond"/>
          <w:color w:val="000000" w:themeColor="text1"/>
        </w:rPr>
        <w:t xml:space="preserve">. </w:t>
      </w:r>
    </w:p>
    <w:p w14:paraId="5D6A3EDA" w14:textId="77777777" w:rsidR="004746BB" w:rsidRPr="00A76C93" w:rsidRDefault="004746BB" w:rsidP="004746BB">
      <w:pPr>
        <w:tabs>
          <w:tab w:val="left" w:pos="6440"/>
        </w:tabs>
        <w:spacing w:line="252" w:lineRule="auto"/>
        <w:jc w:val="both"/>
        <w:rPr>
          <w:rFonts w:ascii="Garamond" w:hAnsi="Garamond"/>
          <w:color w:val="000000" w:themeColor="text1"/>
        </w:rPr>
      </w:pPr>
    </w:p>
    <w:p w14:paraId="4FFA1094"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475AE05F" w14:textId="77777777" w:rsidR="004746BB" w:rsidRPr="00A76C93" w:rsidRDefault="004746BB" w:rsidP="004746BB">
      <w:pPr>
        <w:tabs>
          <w:tab w:val="left" w:pos="6440"/>
        </w:tabs>
        <w:spacing w:line="252" w:lineRule="auto"/>
        <w:jc w:val="both"/>
        <w:rPr>
          <w:rFonts w:ascii="Garamond" w:hAnsi="Garamond"/>
          <w:color w:val="000000" w:themeColor="text1"/>
        </w:rPr>
      </w:pPr>
    </w:p>
    <w:p w14:paraId="43DDC253" w14:textId="5FA77C09" w:rsidR="004746BB"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Ce constat, valable pour le secteur du bâtiment, pourrait être étendu aux autres secteurs </w:t>
      </w:r>
      <w:r w:rsidR="004746BB">
        <w:rPr>
          <w:rFonts w:ascii="Garamond" w:hAnsi="Garamond"/>
          <w:color w:val="000000" w:themeColor="text1"/>
        </w:rPr>
        <w:t xml:space="preserve">les plus émetteurs de gaz à effet de serre. </w:t>
      </w:r>
      <w:r w:rsidRPr="00A76C93">
        <w:rPr>
          <w:rFonts w:ascii="Garamond" w:hAnsi="Garamond"/>
          <w:color w:val="000000" w:themeColor="text1"/>
        </w:rPr>
        <w:t xml:space="preserve"> </w:t>
      </w:r>
    </w:p>
    <w:p w14:paraId="70F7B6D1" w14:textId="77777777" w:rsidR="004746BB" w:rsidRDefault="004746BB" w:rsidP="00A76C93">
      <w:pPr>
        <w:tabs>
          <w:tab w:val="left" w:pos="6440"/>
        </w:tabs>
        <w:spacing w:line="252" w:lineRule="auto"/>
        <w:jc w:val="both"/>
        <w:rPr>
          <w:rFonts w:ascii="Garamond" w:hAnsi="Garamond"/>
          <w:color w:val="000000" w:themeColor="text1"/>
        </w:rPr>
      </w:pPr>
    </w:p>
    <w:p w14:paraId="667E3DEE" w14:textId="6FDBD55E"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Il confirme, une nouvelle fois, que les baisses d</w:t>
      </w:r>
      <w:r w:rsidR="00F86CA7">
        <w:rPr>
          <w:rFonts w:ascii="Garamond" w:hAnsi="Garamond"/>
          <w:color w:val="000000" w:themeColor="text1"/>
        </w:rPr>
        <w:t>’</w:t>
      </w:r>
      <w:r>
        <w:rPr>
          <w:rFonts w:ascii="Garamond" w:hAnsi="Garamond"/>
          <w:color w:val="000000" w:themeColor="text1"/>
        </w:rPr>
        <w:t>émissions constatées ne sont pas exclusivement imputables à l</w:t>
      </w:r>
      <w:r w:rsidR="00F86CA7">
        <w:rPr>
          <w:rFonts w:ascii="Garamond" w:hAnsi="Garamond"/>
          <w:color w:val="000000" w:themeColor="text1"/>
        </w:rPr>
        <w:t>’</w:t>
      </w:r>
      <w:r>
        <w:rPr>
          <w:rFonts w:ascii="Garamond" w:hAnsi="Garamond"/>
          <w:color w:val="000000" w:themeColor="text1"/>
        </w:rPr>
        <w:t>action de l</w:t>
      </w:r>
      <w:r w:rsidR="00F86CA7">
        <w:rPr>
          <w:rFonts w:ascii="Garamond" w:hAnsi="Garamond"/>
          <w:color w:val="000000" w:themeColor="text1"/>
        </w:rPr>
        <w:t>’</w:t>
      </w:r>
      <w:r>
        <w:rPr>
          <w:rFonts w:ascii="Garamond" w:hAnsi="Garamond"/>
          <w:color w:val="000000" w:themeColor="text1"/>
        </w:rPr>
        <w:t xml:space="preserve">État. </w:t>
      </w:r>
    </w:p>
    <w:p w14:paraId="5ED9A48B" w14:textId="77777777" w:rsidR="004746BB" w:rsidRDefault="004746BB" w:rsidP="00A76C93">
      <w:pPr>
        <w:tabs>
          <w:tab w:val="left" w:pos="6440"/>
        </w:tabs>
        <w:spacing w:line="252" w:lineRule="auto"/>
        <w:jc w:val="both"/>
        <w:rPr>
          <w:rFonts w:ascii="Garamond" w:hAnsi="Garamond"/>
          <w:color w:val="000000" w:themeColor="text1"/>
        </w:rPr>
      </w:pPr>
    </w:p>
    <w:p w14:paraId="79E0463F" w14:textId="310B0325"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Par extension, la compensation arithmétique du surplus lié au dépassement du premier budget carbone qui pourrait, le cas échéant, résulter de ces réductions d</w:t>
      </w:r>
      <w:r w:rsidR="00F86CA7">
        <w:rPr>
          <w:rFonts w:ascii="Garamond" w:hAnsi="Garamond"/>
          <w:color w:val="000000" w:themeColor="text1"/>
        </w:rPr>
        <w:t>’</w:t>
      </w:r>
      <w:r>
        <w:rPr>
          <w:rFonts w:ascii="Garamond" w:hAnsi="Garamond"/>
          <w:color w:val="000000" w:themeColor="text1"/>
        </w:rPr>
        <w:t>émissions, ne pourrait davantage être imputé à l</w:t>
      </w:r>
      <w:r w:rsidR="00F86CA7">
        <w:rPr>
          <w:rFonts w:ascii="Garamond" w:hAnsi="Garamond"/>
          <w:color w:val="000000" w:themeColor="text1"/>
        </w:rPr>
        <w:t>’</w:t>
      </w:r>
      <w:r>
        <w:rPr>
          <w:rFonts w:ascii="Garamond" w:hAnsi="Garamond"/>
          <w:color w:val="000000" w:themeColor="text1"/>
        </w:rPr>
        <w:t xml:space="preserve">État ni, </w:t>
      </w:r>
      <w:r w:rsidRPr="004746BB">
        <w:rPr>
          <w:rFonts w:ascii="Garamond" w:hAnsi="Garamond"/>
          <w:i/>
          <w:iCs/>
          <w:color w:val="000000" w:themeColor="text1"/>
        </w:rPr>
        <w:t>a fortiori</w:t>
      </w:r>
      <w:r>
        <w:rPr>
          <w:rFonts w:ascii="Garamond" w:hAnsi="Garamond"/>
          <w:color w:val="000000" w:themeColor="text1"/>
        </w:rPr>
        <w:t xml:space="preserve">, à des mesures spécialement adoptées par ce dernier pour réparer le préjudice écologique, ou limiter son aggravation. </w:t>
      </w:r>
    </w:p>
    <w:p w14:paraId="5EEA2F78" w14:textId="77777777" w:rsidR="004746BB" w:rsidRDefault="004746BB" w:rsidP="00A76C93">
      <w:pPr>
        <w:tabs>
          <w:tab w:val="left" w:pos="6440"/>
        </w:tabs>
        <w:spacing w:line="252" w:lineRule="auto"/>
        <w:jc w:val="both"/>
        <w:rPr>
          <w:rFonts w:ascii="Garamond" w:hAnsi="Garamond"/>
          <w:color w:val="000000" w:themeColor="text1"/>
        </w:rPr>
      </w:pPr>
    </w:p>
    <w:p w14:paraId="379F3791" w14:textId="0836CF26"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Ce qui confirme l</w:t>
      </w:r>
      <w:r w:rsidR="00F86CA7">
        <w:rPr>
          <w:rFonts w:ascii="Garamond" w:hAnsi="Garamond"/>
          <w:color w:val="000000" w:themeColor="text1"/>
        </w:rPr>
        <w:t>’</w:t>
      </w:r>
      <w:r>
        <w:rPr>
          <w:rFonts w:ascii="Garamond" w:hAnsi="Garamond"/>
          <w:color w:val="000000" w:themeColor="text1"/>
        </w:rPr>
        <w:t>inexécution – à tout le moins partielle – du jugement rendu le 14 octobre 2021.</w:t>
      </w:r>
    </w:p>
    <w:p w14:paraId="7A639523" w14:textId="77777777" w:rsidR="004746BB" w:rsidRDefault="004746BB" w:rsidP="00A76C93">
      <w:pPr>
        <w:tabs>
          <w:tab w:val="left" w:pos="6440"/>
        </w:tabs>
        <w:spacing w:line="252" w:lineRule="auto"/>
        <w:jc w:val="both"/>
        <w:rPr>
          <w:rFonts w:ascii="Garamond" w:hAnsi="Garamond"/>
          <w:color w:val="000000" w:themeColor="text1"/>
        </w:rPr>
      </w:pPr>
    </w:p>
    <w:p w14:paraId="29A23B1B" w14:textId="77777777" w:rsidR="004746BB" w:rsidRDefault="004746BB" w:rsidP="00A76C93">
      <w:pPr>
        <w:tabs>
          <w:tab w:val="left" w:pos="6440"/>
        </w:tabs>
        <w:spacing w:line="252" w:lineRule="auto"/>
        <w:jc w:val="both"/>
        <w:rPr>
          <w:rFonts w:ascii="Garamond" w:hAnsi="Garamond"/>
          <w:color w:val="000000" w:themeColor="text1"/>
        </w:rPr>
      </w:pPr>
    </w:p>
    <w:p w14:paraId="7E603800" w14:textId="77777777" w:rsidR="004746BB" w:rsidRDefault="004746BB" w:rsidP="00A76C93">
      <w:pPr>
        <w:tabs>
          <w:tab w:val="left" w:pos="6440"/>
        </w:tabs>
        <w:spacing w:line="252" w:lineRule="auto"/>
        <w:jc w:val="both"/>
        <w:rPr>
          <w:rFonts w:ascii="Garamond" w:hAnsi="Garamond"/>
          <w:color w:val="000000" w:themeColor="text1"/>
        </w:rPr>
      </w:pPr>
    </w:p>
    <w:p w14:paraId="71CEC860" w14:textId="0494AB5F" w:rsidR="004746BB" w:rsidRPr="00A76C93" w:rsidRDefault="004746BB" w:rsidP="004746BB">
      <w:pPr>
        <w:pStyle w:val="Titre2"/>
        <w:spacing w:line="252" w:lineRule="auto"/>
        <w:ind w:left="851" w:right="0" w:hanging="851"/>
        <w:jc w:val="both"/>
        <w:rPr>
          <w:rFonts w:ascii="Garamond" w:hAnsi="Garamond"/>
          <w:i/>
          <w:iCs/>
          <w:color w:val="000000" w:themeColor="text1"/>
          <w:sz w:val="24"/>
          <w:szCs w:val="24"/>
          <w:u w:val="single"/>
        </w:rPr>
      </w:pPr>
      <w:r w:rsidRPr="00F64650">
        <w:rPr>
          <w:rFonts w:ascii="Garamond" w:hAnsi="Garamond"/>
          <w:smallCaps/>
          <w:color w:val="000000" w:themeColor="text1"/>
          <w:sz w:val="24"/>
          <w:szCs w:val="24"/>
        </w:rPr>
        <w:t>I.</w:t>
      </w:r>
      <w:r>
        <w:rPr>
          <w:rFonts w:ascii="Garamond" w:hAnsi="Garamond"/>
          <w:smallCaps/>
          <w:color w:val="000000" w:themeColor="text1"/>
          <w:sz w:val="24"/>
          <w:szCs w:val="24"/>
        </w:rPr>
        <w:t>C</w:t>
      </w:r>
      <w:r w:rsidRPr="00F64650">
        <w:rPr>
          <w:rFonts w:ascii="Garamond" w:hAnsi="Garamond"/>
          <w:smallCaps/>
          <w:color w:val="000000" w:themeColor="text1"/>
          <w:sz w:val="24"/>
          <w:szCs w:val="24"/>
        </w:rPr>
        <w:t xml:space="preserve">] </w:t>
      </w:r>
      <w:r w:rsidRPr="00F64650">
        <w:rPr>
          <w:rFonts w:ascii="Garamond" w:hAnsi="Garamond"/>
          <w:smallCaps/>
          <w:color w:val="000000" w:themeColor="text1"/>
          <w:sz w:val="24"/>
          <w:szCs w:val="24"/>
        </w:rPr>
        <w:tab/>
      </w:r>
      <w:r>
        <w:rPr>
          <w:rFonts w:ascii="Garamond" w:hAnsi="Garamond"/>
          <w:i/>
          <w:iCs/>
          <w:color w:val="000000" w:themeColor="text1"/>
          <w:sz w:val="24"/>
          <w:szCs w:val="24"/>
          <w:u w:val="single"/>
        </w:rPr>
        <w:t>S</w:t>
      </w:r>
      <w:r w:rsidRPr="00A76C93">
        <w:rPr>
          <w:rFonts w:ascii="Garamond" w:hAnsi="Garamond"/>
          <w:i/>
          <w:iCs/>
          <w:color w:val="000000" w:themeColor="text1"/>
          <w:sz w:val="24"/>
          <w:szCs w:val="24"/>
          <w:u w:val="single"/>
        </w:rPr>
        <w:t xml:space="preserve">ur </w:t>
      </w:r>
      <w:r>
        <w:rPr>
          <w:rFonts w:ascii="Garamond" w:hAnsi="Garamond"/>
          <w:i/>
          <w:iCs/>
          <w:color w:val="000000" w:themeColor="text1"/>
          <w:sz w:val="24"/>
          <w:szCs w:val="24"/>
          <w:u w:val="single"/>
        </w:rPr>
        <w:t>le caractère insuffisant et inadéquat des mesures adoptées par l</w:t>
      </w:r>
      <w:r w:rsidR="00F86CA7">
        <w:rPr>
          <w:rFonts w:ascii="Garamond" w:hAnsi="Garamond"/>
          <w:i/>
          <w:iCs/>
          <w:color w:val="000000" w:themeColor="text1"/>
          <w:sz w:val="24"/>
          <w:szCs w:val="24"/>
          <w:u w:val="single"/>
        </w:rPr>
        <w:t>’</w:t>
      </w:r>
      <w:r>
        <w:rPr>
          <w:rFonts w:ascii="Garamond" w:hAnsi="Garamond"/>
          <w:i/>
          <w:iCs/>
          <w:color w:val="000000" w:themeColor="text1"/>
          <w:sz w:val="24"/>
          <w:szCs w:val="24"/>
          <w:u w:val="single"/>
        </w:rPr>
        <w:t>État</w:t>
      </w:r>
    </w:p>
    <w:p w14:paraId="24E9F3B4" w14:textId="77777777" w:rsidR="004746BB" w:rsidRDefault="004746BB" w:rsidP="004746BB">
      <w:pPr>
        <w:spacing w:line="252" w:lineRule="auto"/>
        <w:jc w:val="both"/>
        <w:rPr>
          <w:rFonts w:ascii="Garamond" w:hAnsi="Garamond"/>
        </w:rPr>
      </w:pPr>
    </w:p>
    <w:p w14:paraId="3E36F85D"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5DE2D58F" w14:textId="77777777" w:rsidR="004746BB" w:rsidRDefault="004746BB" w:rsidP="004746BB">
      <w:pPr>
        <w:tabs>
          <w:tab w:val="left" w:pos="6440"/>
        </w:tabs>
        <w:spacing w:line="252" w:lineRule="auto"/>
        <w:jc w:val="both"/>
        <w:rPr>
          <w:rFonts w:ascii="Garamond" w:hAnsi="Garamond"/>
          <w:color w:val="000000" w:themeColor="text1"/>
        </w:rPr>
      </w:pPr>
    </w:p>
    <w:p w14:paraId="0F9CB492" w14:textId="768B3EB0" w:rsidR="004746BB" w:rsidRDefault="004746BB" w:rsidP="00A76C93">
      <w:pPr>
        <w:tabs>
          <w:tab w:val="left" w:pos="6440"/>
        </w:tabs>
        <w:spacing w:line="252" w:lineRule="auto"/>
        <w:jc w:val="both"/>
        <w:rPr>
          <w:rFonts w:ascii="Garamond" w:hAnsi="Garamond"/>
          <w:color w:val="000000" w:themeColor="text1"/>
        </w:rPr>
      </w:pPr>
      <w:r w:rsidRPr="004746BB">
        <w:rPr>
          <w:rFonts w:ascii="Garamond" w:hAnsi="Garamond"/>
          <w:b/>
          <w:bCs/>
          <w:color w:val="000000" w:themeColor="text1"/>
          <w:u w:val="single"/>
        </w:rPr>
        <w:lastRenderedPageBreak/>
        <w:t>En dernier lieu</w:t>
      </w:r>
      <w:r>
        <w:rPr>
          <w:rFonts w:ascii="Garamond" w:hAnsi="Garamond"/>
          <w:color w:val="000000" w:themeColor="text1"/>
        </w:rPr>
        <w:t>, les</w:t>
      </w:r>
      <w:r w:rsidRPr="00A76C93">
        <w:rPr>
          <w:rFonts w:ascii="Garamond" w:hAnsi="Garamond"/>
          <w:color w:val="000000" w:themeColor="text1"/>
        </w:rPr>
        <w:t xml:space="preserve"> mesures adoptées par l</w:t>
      </w:r>
      <w:r w:rsidR="00F86CA7">
        <w:rPr>
          <w:rFonts w:ascii="Garamond" w:hAnsi="Garamond"/>
          <w:color w:val="000000" w:themeColor="text1"/>
        </w:rPr>
        <w:t>’</w:t>
      </w:r>
      <w:r w:rsidRPr="00A76C93">
        <w:rPr>
          <w:rFonts w:ascii="Garamond" w:hAnsi="Garamond"/>
          <w:color w:val="000000" w:themeColor="text1"/>
        </w:rPr>
        <w:t xml:space="preserve">État </w:t>
      </w:r>
      <w:r>
        <w:rPr>
          <w:rFonts w:ascii="Garamond" w:hAnsi="Garamond"/>
          <w:color w:val="000000" w:themeColor="text1"/>
        </w:rPr>
        <w:t xml:space="preserve">depuis le jugement du 14 octobre 2021 paraissent largement insuffisantes </w:t>
      </w:r>
      <w:r w:rsidRPr="00A76C93">
        <w:rPr>
          <w:rFonts w:ascii="Garamond" w:hAnsi="Garamond"/>
          <w:color w:val="000000" w:themeColor="text1"/>
        </w:rPr>
        <w:t>pour répondre à l</w:t>
      </w:r>
      <w:r w:rsidR="00F86CA7">
        <w:rPr>
          <w:rFonts w:ascii="Garamond" w:hAnsi="Garamond"/>
          <w:color w:val="000000" w:themeColor="text1"/>
        </w:rPr>
        <w:t>’</w:t>
      </w:r>
      <w:r w:rsidRPr="00A76C93">
        <w:rPr>
          <w:rFonts w:ascii="Garamond" w:hAnsi="Garamond"/>
          <w:color w:val="000000" w:themeColor="text1"/>
        </w:rPr>
        <w:t xml:space="preserve">injonction </w:t>
      </w:r>
      <w:r>
        <w:rPr>
          <w:rFonts w:ascii="Garamond" w:hAnsi="Garamond"/>
          <w:color w:val="000000" w:themeColor="text1"/>
        </w:rPr>
        <w:t xml:space="preserve">prononcée par ce dernier. </w:t>
      </w:r>
    </w:p>
    <w:p w14:paraId="64FD7658" w14:textId="77777777" w:rsidR="004746BB" w:rsidRDefault="004746BB" w:rsidP="004746BB">
      <w:pPr>
        <w:spacing w:line="252" w:lineRule="auto"/>
        <w:jc w:val="both"/>
        <w:rPr>
          <w:rFonts w:ascii="Garamond" w:hAnsi="Garamond"/>
        </w:rPr>
      </w:pPr>
    </w:p>
    <w:p w14:paraId="6AB1FD4F"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494FBCC1" w14:textId="77777777" w:rsidR="004746BB" w:rsidRDefault="004746BB" w:rsidP="004746BB">
      <w:pPr>
        <w:tabs>
          <w:tab w:val="left" w:pos="6440"/>
        </w:tabs>
        <w:spacing w:line="252" w:lineRule="auto"/>
        <w:jc w:val="both"/>
        <w:rPr>
          <w:rFonts w:ascii="Garamond" w:hAnsi="Garamond"/>
          <w:color w:val="000000" w:themeColor="text1"/>
        </w:rPr>
      </w:pPr>
    </w:p>
    <w:p w14:paraId="68FDBF5F" w14:textId="23064CCF"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Devant le Tribunal administratif de Paris</w:t>
      </w:r>
      <w:r w:rsidR="00A76C93" w:rsidRPr="00A76C93">
        <w:rPr>
          <w:rFonts w:ascii="Garamond" w:hAnsi="Garamond"/>
          <w:color w:val="000000" w:themeColor="text1"/>
        </w:rPr>
        <w:t>, l</w:t>
      </w:r>
      <w:r w:rsidR="00F86CA7">
        <w:rPr>
          <w:rFonts w:ascii="Garamond" w:hAnsi="Garamond"/>
          <w:color w:val="000000" w:themeColor="text1"/>
        </w:rPr>
        <w:t>’</w:t>
      </w:r>
      <w:r w:rsidR="00A76C93" w:rsidRPr="00A76C93">
        <w:rPr>
          <w:rFonts w:ascii="Garamond" w:hAnsi="Garamond"/>
          <w:color w:val="000000" w:themeColor="text1"/>
        </w:rPr>
        <w:t>État s</w:t>
      </w:r>
      <w:r w:rsidR="00F86CA7">
        <w:rPr>
          <w:rFonts w:ascii="Garamond" w:hAnsi="Garamond"/>
          <w:color w:val="000000" w:themeColor="text1"/>
        </w:rPr>
        <w:t>’</w:t>
      </w:r>
      <w:r w:rsidR="00A76C93" w:rsidRPr="00A76C93">
        <w:rPr>
          <w:rFonts w:ascii="Garamond" w:hAnsi="Garamond"/>
          <w:color w:val="000000" w:themeColor="text1"/>
        </w:rPr>
        <w:t xml:space="preserve">était prévalu de </w:t>
      </w:r>
      <w:r>
        <w:rPr>
          <w:rFonts w:ascii="Garamond" w:hAnsi="Garamond"/>
          <w:color w:val="000000" w:themeColor="text1"/>
        </w:rPr>
        <w:t xml:space="preserve">ce que </w:t>
      </w:r>
      <w:r w:rsidR="00A76C93" w:rsidRPr="00A76C93">
        <w:rPr>
          <w:rFonts w:ascii="Garamond" w:hAnsi="Garamond"/>
          <w:color w:val="000000" w:themeColor="text1"/>
        </w:rPr>
        <w:t>l</w:t>
      </w:r>
      <w:r w:rsidR="00F86CA7">
        <w:rPr>
          <w:rFonts w:ascii="Garamond" w:hAnsi="Garamond"/>
          <w:color w:val="000000" w:themeColor="text1"/>
        </w:rPr>
        <w:t>’</w:t>
      </w:r>
      <w:r w:rsidR="00A76C93" w:rsidRPr="00A76C93">
        <w:rPr>
          <w:rFonts w:ascii="Garamond" w:hAnsi="Garamond"/>
          <w:color w:val="000000" w:themeColor="text1"/>
        </w:rPr>
        <w:t xml:space="preserve">entrée en vigueur de la </w:t>
      </w:r>
      <w:r w:rsidRPr="004746BB">
        <w:rPr>
          <w:rFonts w:ascii="Garamond" w:hAnsi="Garamond"/>
          <w:color w:val="000000" w:themeColor="text1"/>
        </w:rPr>
        <w:t>n° 2021-1104 du 22 août 2021 portant lutte contre le dérèglement climatique et renforcement de la résilience face à ses effets</w:t>
      </w:r>
      <w:r>
        <w:rPr>
          <w:rFonts w:ascii="Garamond" w:hAnsi="Garamond"/>
          <w:color w:val="000000" w:themeColor="text1"/>
        </w:rPr>
        <w:t xml:space="preserve"> et des textes réglementaires pris pour son application permettraient de procéder à la réparation du préjudice écologique lié au surplus d</w:t>
      </w:r>
      <w:r w:rsidR="00F86CA7">
        <w:rPr>
          <w:rFonts w:ascii="Garamond" w:hAnsi="Garamond"/>
          <w:color w:val="000000" w:themeColor="text1"/>
        </w:rPr>
        <w:t>’</w:t>
      </w:r>
      <w:r>
        <w:rPr>
          <w:rFonts w:ascii="Garamond" w:hAnsi="Garamond"/>
          <w:color w:val="000000" w:themeColor="text1"/>
        </w:rPr>
        <w:t xml:space="preserve">émissions résultant du dépassement du premier budget carbone. </w:t>
      </w:r>
    </w:p>
    <w:p w14:paraId="5B44D772" w14:textId="77777777" w:rsidR="004746BB" w:rsidRDefault="004746BB" w:rsidP="00A76C93">
      <w:pPr>
        <w:tabs>
          <w:tab w:val="left" w:pos="6440"/>
        </w:tabs>
        <w:spacing w:line="252" w:lineRule="auto"/>
        <w:jc w:val="both"/>
        <w:rPr>
          <w:rFonts w:ascii="Garamond" w:hAnsi="Garamond"/>
          <w:color w:val="000000" w:themeColor="text1"/>
        </w:rPr>
      </w:pPr>
    </w:p>
    <w:p w14:paraId="26589261" w14:textId="48C58FD8"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L</w:t>
      </w:r>
      <w:r w:rsidR="00A76C93" w:rsidRPr="00A76C93">
        <w:rPr>
          <w:rFonts w:ascii="Garamond" w:hAnsi="Garamond"/>
          <w:color w:val="000000" w:themeColor="text1"/>
        </w:rPr>
        <w:t xml:space="preserve">e </w:t>
      </w:r>
      <w:r>
        <w:rPr>
          <w:rFonts w:ascii="Garamond" w:hAnsi="Garamond"/>
          <w:color w:val="000000" w:themeColor="text1"/>
        </w:rPr>
        <w:t>T</w:t>
      </w:r>
      <w:r w:rsidR="00A76C93" w:rsidRPr="00A76C93">
        <w:rPr>
          <w:rFonts w:ascii="Garamond" w:hAnsi="Garamond"/>
          <w:color w:val="000000" w:themeColor="text1"/>
        </w:rPr>
        <w:t xml:space="preserve">ribunal avait </w:t>
      </w:r>
      <w:r>
        <w:rPr>
          <w:rFonts w:ascii="Garamond" w:hAnsi="Garamond"/>
          <w:color w:val="000000" w:themeColor="text1"/>
        </w:rPr>
        <w:t xml:space="preserve">toutefois </w:t>
      </w:r>
      <w:r w:rsidR="00A76C93" w:rsidRPr="00A76C93">
        <w:rPr>
          <w:rFonts w:ascii="Garamond" w:hAnsi="Garamond"/>
          <w:color w:val="000000" w:themeColor="text1"/>
        </w:rPr>
        <w:t>écarté ce raisonnement</w:t>
      </w:r>
      <w:r>
        <w:rPr>
          <w:rFonts w:ascii="Garamond" w:hAnsi="Garamond"/>
          <w:color w:val="000000" w:themeColor="text1"/>
        </w:rPr>
        <w:t>,</w:t>
      </w:r>
      <w:r w:rsidR="00A76C93" w:rsidRPr="00A76C93">
        <w:rPr>
          <w:rFonts w:ascii="Garamond" w:hAnsi="Garamond"/>
          <w:color w:val="000000" w:themeColor="text1"/>
        </w:rPr>
        <w:t xml:space="preserve"> au motif qu</w:t>
      </w:r>
      <w:r w:rsidR="00F86CA7">
        <w:rPr>
          <w:rFonts w:ascii="Garamond" w:hAnsi="Garamond"/>
          <w:color w:val="000000" w:themeColor="text1"/>
        </w:rPr>
        <w:t>’</w:t>
      </w:r>
      <w:r>
        <w:rPr>
          <w:rFonts w:ascii="Garamond" w:hAnsi="Garamond"/>
          <w:color w:val="000000" w:themeColor="text1"/>
        </w:rPr>
        <w:t>il n</w:t>
      </w:r>
      <w:r w:rsidR="00F86CA7">
        <w:rPr>
          <w:rFonts w:ascii="Garamond" w:hAnsi="Garamond"/>
          <w:color w:val="000000" w:themeColor="text1"/>
        </w:rPr>
        <w:t>’</w:t>
      </w:r>
      <w:r>
        <w:rPr>
          <w:rFonts w:ascii="Garamond" w:hAnsi="Garamond"/>
          <w:color w:val="000000" w:themeColor="text1"/>
        </w:rPr>
        <w:t xml:space="preserve">était pas établi – au regard, notamment des données publiées par le CITEPA – que ledit préjudice aurait été intégralement compensé dès le 14 octobre 2021. </w:t>
      </w:r>
    </w:p>
    <w:p w14:paraId="7168712D" w14:textId="77777777" w:rsidR="004746BB" w:rsidRDefault="004746BB" w:rsidP="00A76C93">
      <w:pPr>
        <w:tabs>
          <w:tab w:val="left" w:pos="6440"/>
        </w:tabs>
        <w:spacing w:line="252" w:lineRule="auto"/>
        <w:jc w:val="both"/>
        <w:rPr>
          <w:rFonts w:ascii="Garamond" w:hAnsi="Garamond"/>
          <w:color w:val="000000" w:themeColor="text1"/>
        </w:rPr>
      </w:pPr>
    </w:p>
    <w:p w14:paraId="54F571B6" w14:textId="61FEAAEB"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La publication, depuis cette date, des décrets relatifs à la mise en œuvre de la loi du 22 août 2021 ne modifie pas l</w:t>
      </w:r>
      <w:r w:rsidR="00F86CA7">
        <w:rPr>
          <w:rFonts w:ascii="Garamond" w:hAnsi="Garamond"/>
          <w:color w:val="000000" w:themeColor="text1"/>
        </w:rPr>
        <w:t>’</w:t>
      </w:r>
      <w:r>
        <w:rPr>
          <w:rFonts w:ascii="Garamond" w:hAnsi="Garamond"/>
          <w:color w:val="000000" w:themeColor="text1"/>
        </w:rPr>
        <w:t xml:space="preserve">analyse. </w:t>
      </w:r>
    </w:p>
    <w:p w14:paraId="77EA7334" w14:textId="77777777" w:rsidR="004746BB" w:rsidRDefault="004746BB" w:rsidP="00A76C93">
      <w:pPr>
        <w:tabs>
          <w:tab w:val="left" w:pos="6440"/>
        </w:tabs>
        <w:spacing w:line="252" w:lineRule="auto"/>
        <w:jc w:val="both"/>
        <w:rPr>
          <w:rFonts w:ascii="Garamond" w:hAnsi="Garamond"/>
          <w:color w:val="000000" w:themeColor="text1"/>
        </w:rPr>
      </w:pPr>
    </w:p>
    <w:p w14:paraId="4B41F5C7" w14:textId="6A91B8C0" w:rsid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En effet, dans sa décision « </w:t>
      </w:r>
      <w:r w:rsidRPr="004746BB">
        <w:rPr>
          <w:rFonts w:ascii="Garamond" w:hAnsi="Garamond"/>
          <w:i/>
          <w:iCs/>
          <w:color w:val="000000" w:themeColor="text1"/>
        </w:rPr>
        <w:t>Commune de Grande-Synthe</w:t>
      </w:r>
      <w:r>
        <w:rPr>
          <w:rFonts w:ascii="Garamond" w:hAnsi="Garamond"/>
          <w:color w:val="000000" w:themeColor="text1"/>
        </w:rPr>
        <w:t> » du 10 mai 2023,</w:t>
      </w:r>
      <w:r w:rsidR="00A76C93" w:rsidRPr="00A76C93">
        <w:rPr>
          <w:rFonts w:ascii="Garamond" w:hAnsi="Garamond"/>
          <w:color w:val="000000" w:themeColor="text1"/>
        </w:rPr>
        <w:t xml:space="preserve"> le Conseil </w:t>
      </w:r>
      <w:r>
        <w:rPr>
          <w:rFonts w:ascii="Garamond" w:hAnsi="Garamond"/>
          <w:color w:val="000000" w:themeColor="text1"/>
        </w:rPr>
        <w:t>d</w:t>
      </w:r>
      <w:r w:rsidR="00F86CA7">
        <w:rPr>
          <w:rFonts w:ascii="Garamond" w:hAnsi="Garamond"/>
          <w:color w:val="000000" w:themeColor="text1"/>
        </w:rPr>
        <w:t>’</w:t>
      </w:r>
      <w:r>
        <w:rPr>
          <w:rFonts w:ascii="Garamond" w:hAnsi="Garamond"/>
          <w:color w:val="000000" w:themeColor="text1"/>
        </w:rPr>
        <w:t xml:space="preserve">État </w:t>
      </w:r>
      <w:r w:rsidR="00A76C93" w:rsidRPr="00A76C93">
        <w:rPr>
          <w:rFonts w:ascii="Garamond" w:hAnsi="Garamond"/>
          <w:color w:val="000000" w:themeColor="text1"/>
        </w:rPr>
        <w:t xml:space="preserve">a </w:t>
      </w:r>
      <w:r>
        <w:rPr>
          <w:rFonts w:ascii="Garamond" w:hAnsi="Garamond"/>
          <w:color w:val="000000" w:themeColor="text1"/>
        </w:rPr>
        <w:t>retenu</w:t>
      </w:r>
      <w:r w:rsidR="00A76C93" w:rsidRPr="00A76C93">
        <w:rPr>
          <w:rFonts w:ascii="Garamond" w:hAnsi="Garamond"/>
          <w:color w:val="000000" w:themeColor="text1"/>
        </w:rPr>
        <w:t xml:space="preserve"> que ces mesures étaient toujours insuffisantes pour garantir le respect de la trajectoire de réduction de gaz à effet de serre, telle que définie par la SNBC</w:t>
      </w:r>
      <w:r>
        <w:rPr>
          <w:rFonts w:ascii="Garamond" w:hAnsi="Garamond"/>
          <w:color w:val="000000" w:themeColor="text1"/>
        </w:rPr>
        <w:t xml:space="preserve">. Ainsi a-t-il jugé que : </w:t>
      </w:r>
    </w:p>
    <w:p w14:paraId="3931557B" w14:textId="77777777" w:rsidR="004746BB" w:rsidRDefault="004746BB" w:rsidP="00A76C93">
      <w:pPr>
        <w:tabs>
          <w:tab w:val="left" w:pos="6440"/>
        </w:tabs>
        <w:spacing w:line="252" w:lineRule="auto"/>
        <w:jc w:val="both"/>
        <w:rPr>
          <w:rFonts w:ascii="Garamond" w:hAnsi="Garamond"/>
          <w:color w:val="000000" w:themeColor="text1"/>
        </w:rPr>
      </w:pPr>
    </w:p>
    <w:p w14:paraId="781EC44C" w14:textId="77677422" w:rsidR="004746BB" w:rsidRDefault="004746BB" w:rsidP="004746BB">
      <w:pPr>
        <w:tabs>
          <w:tab w:val="left" w:pos="6440"/>
        </w:tabs>
        <w:spacing w:line="252" w:lineRule="auto"/>
        <w:ind w:left="567"/>
        <w:jc w:val="both"/>
        <w:rPr>
          <w:rFonts w:ascii="Garamond" w:hAnsi="Garamond"/>
          <w:i/>
          <w:iCs/>
          <w:color w:val="000000" w:themeColor="text1"/>
        </w:rPr>
      </w:pPr>
      <w:r>
        <w:rPr>
          <w:rFonts w:ascii="Garamond" w:hAnsi="Garamond"/>
          <w:color w:val="000000" w:themeColor="text1"/>
        </w:rPr>
        <w:t xml:space="preserve">« […] </w:t>
      </w:r>
      <w:r w:rsidRPr="004746BB">
        <w:rPr>
          <w:rFonts w:ascii="Garamond" w:hAnsi="Garamond"/>
          <w:i/>
          <w:iCs/>
          <w:color w:val="000000" w:themeColor="text1"/>
        </w:rPr>
        <w:t>Le Gouvernement a adopté un ensemble de mesures conséquent, qui concerne nombre d</w:t>
      </w:r>
      <w:r w:rsidR="00F86CA7">
        <w:rPr>
          <w:rFonts w:ascii="Garamond" w:hAnsi="Garamond"/>
          <w:i/>
          <w:iCs/>
          <w:color w:val="000000" w:themeColor="text1"/>
        </w:rPr>
        <w:t>’</w:t>
      </w:r>
      <w:r w:rsidRPr="004746BB">
        <w:rPr>
          <w:rFonts w:ascii="Garamond" w:hAnsi="Garamond"/>
          <w:i/>
          <w:iCs/>
          <w:color w:val="000000" w:themeColor="text1"/>
        </w:rPr>
        <w:t xml:space="preserve">activités ou de secteurs émetteurs de gaz à effet de serre, et a alloué des montants importants aux investissements en lien avec la transition écologique et énergétique. Ces mesures, </w:t>
      </w:r>
      <w:r w:rsidRPr="004746BB">
        <w:rPr>
          <w:rFonts w:ascii="Garamond" w:hAnsi="Garamond"/>
          <w:i/>
          <w:iCs/>
          <w:color w:val="000000" w:themeColor="text1"/>
          <w:u w:val="single"/>
        </w:rPr>
        <w:t>si elles sont mises en œuvre pleinement et sans retard</w:t>
      </w:r>
      <w:r w:rsidRPr="004746BB">
        <w:rPr>
          <w:rFonts w:ascii="Garamond" w:hAnsi="Garamond"/>
          <w:i/>
          <w:iCs/>
          <w:color w:val="000000" w:themeColor="text1"/>
        </w:rPr>
        <w:t>, apparaissent de nature à conduire à une diminution supplémentaire des émissions de gaz à effet de serre. Ces éléments doivent être regardés comme manifestant la volonté du Gouvernement d</w:t>
      </w:r>
      <w:r w:rsidR="00F86CA7">
        <w:rPr>
          <w:rFonts w:ascii="Garamond" w:hAnsi="Garamond"/>
          <w:i/>
          <w:iCs/>
          <w:color w:val="000000" w:themeColor="text1"/>
        </w:rPr>
        <w:t>’</w:t>
      </w:r>
      <w:r w:rsidRPr="004746BB">
        <w:rPr>
          <w:rFonts w:ascii="Garamond" w:hAnsi="Garamond"/>
          <w:i/>
          <w:iCs/>
          <w:color w:val="000000" w:themeColor="text1"/>
        </w:rPr>
        <w:t>atteindre les objectifs de réduction des émissions fixés en l</w:t>
      </w:r>
      <w:r w:rsidR="00F86CA7">
        <w:rPr>
          <w:rFonts w:ascii="Garamond" w:hAnsi="Garamond"/>
          <w:i/>
          <w:iCs/>
          <w:color w:val="000000" w:themeColor="text1"/>
        </w:rPr>
        <w:t>’</w:t>
      </w:r>
      <w:r w:rsidRPr="004746BB">
        <w:rPr>
          <w:rFonts w:ascii="Garamond" w:hAnsi="Garamond"/>
          <w:i/>
          <w:iCs/>
          <w:color w:val="000000" w:themeColor="text1"/>
        </w:rPr>
        <w:t>état à l</w:t>
      </w:r>
      <w:r w:rsidR="00F86CA7">
        <w:rPr>
          <w:rFonts w:ascii="Garamond" w:hAnsi="Garamond"/>
          <w:i/>
          <w:iCs/>
          <w:color w:val="000000" w:themeColor="text1"/>
        </w:rPr>
        <w:t>’</w:t>
      </w:r>
      <w:r w:rsidRPr="004746BB">
        <w:rPr>
          <w:rFonts w:ascii="Garamond" w:hAnsi="Garamond"/>
          <w:i/>
          <w:iCs/>
          <w:color w:val="000000" w:themeColor="text1"/>
        </w:rPr>
        <w:t>échéance 2030 et d</w:t>
      </w:r>
      <w:r w:rsidR="00F86CA7">
        <w:rPr>
          <w:rFonts w:ascii="Garamond" w:hAnsi="Garamond"/>
          <w:i/>
          <w:iCs/>
          <w:color w:val="000000" w:themeColor="text1"/>
        </w:rPr>
        <w:t>’</w:t>
      </w:r>
      <w:r w:rsidRPr="004746BB">
        <w:rPr>
          <w:rFonts w:ascii="Garamond" w:hAnsi="Garamond"/>
          <w:i/>
          <w:iCs/>
          <w:color w:val="000000" w:themeColor="text1"/>
        </w:rPr>
        <w:t xml:space="preserve">exécuter, ce faisant, la décision du 1er juillet 2021. </w:t>
      </w:r>
      <w:r w:rsidRPr="004746BB">
        <w:rPr>
          <w:rFonts w:ascii="Garamond" w:hAnsi="Garamond"/>
          <w:i/>
          <w:iCs/>
          <w:color w:val="000000" w:themeColor="text1"/>
          <w:u w:val="single"/>
        </w:rPr>
        <w:t>Cependant</w:t>
      </w:r>
      <w:r w:rsidRPr="004746BB">
        <w:rPr>
          <w:rFonts w:ascii="Garamond" w:hAnsi="Garamond"/>
          <w:i/>
          <w:iCs/>
          <w:color w:val="000000" w:themeColor="text1"/>
        </w:rPr>
        <w:t>, si ce dernier fait valoir que ces mesures permettront d</w:t>
      </w:r>
      <w:r w:rsidR="00F86CA7">
        <w:rPr>
          <w:rFonts w:ascii="Garamond" w:hAnsi="Garamond"/>
          <w:i/>
          <w:iCs/>
          <w:color w:val="000000" w:themeColor="text1"/>
        </w:rPr>
        <w:t>’</w:t>
      </w:r>
      <w:r w:rsidRPr="004746BB">
        <w:rPr>
          <w:rFonts w:ascii="Garamond" w:hAnsi="Garamond"/>
          <w:i/>
          <w:iCs/>
          <w:color w:val="000000" w:themeColor="text1"/>
        </w:rPr>
        <w:t>atteindre ces objectifs de réduction des émissions, d</w:t>
      </w:r>
      <w:r w:rsidR="00F86CA7">
        <w:rPr>
          <w:rFonts w:ascii="Garamond" w:hAnsi="Garamond"/>
          <w:i/>
          <w:iCs/>
          <w:color w:val="000000" w:themeColor="text1"/>
        </w:rPr>
        <w:t>’</w:t>
      </w:r>
      <w:r w:rsidRPr="004746BB">
        <w:rPr>
          <w:rFonts w:ascii="Garamond" w:hAnsi="Garamond"/>
          <w:i/>
          <w:iCs/>
          <w:color w:val="000000" w:themeColor="text1"/>
        </w:rPr>
        <w:t>une part, l</w:t>
      </w:r>
      <w:r w:rsidR="00F86CA7">
        <w:rPr>
          <w:rFonts w:ascii="Garamond" w:hAnsi="Garamond"/>
          <w:i/>
          <w:iCs/>
          <w:color w:val="000000" w:themeColor="text1"/>
        </w:rPr>
        <w:t>’</w:t>
      </w:r>
      <w:r w:rsidRPr="004746BB">
        <w:rPr>
          <w:rFonts w:ascii="Garamond" w:hAnsi="Garamond"/>
          <w:i/>
          <w:iCs/>
          <w:color w:val="000000" w:themeColor="text1"/>
        </w:rPr>
        <w:t>évaluation prospective qu</w:t>
      </w:r>
      <w:r w:rsidR="00F86CA7">
        <w:rPr>
          <w:rFonts w:ascii="Garamond" w:hAnsi="Garamond"/>
          <w:i/>
          <w:iCs/>
          <w:color w:val="000000" w:themeColor="text1"/>
        </w:rPr>
        <w:t>’</w:t>
      </w:r>
      <w:r w:rsidRPr="004746BB">
        <w:rPr>
          <w:rFonts w:ascii="Garamond" w:hAnsi="Garamond"/>
          <w:i/>
          <w:iCs/>
          <w:color w:val="000000" w:themeColor="text1"/>
        </w:rPr>
        <w:t xml:space="preserve">il a produite </w:t>
      </w:r>
      <w:r w:rsidRPr="004746BB">
        <w:rPr>
          <w:rFonts w:ascii="Garamond" w:hAnsi="Garamond"/>
          <w:i/>
          <w:iCs/>
          <w:color w:val="000000" w:themeColor="text1"/>
          <w:u w:val="single"/>
        </w:rPr>
        <w:t>repose sur des hypothèses de modélisation qui ne sont pas vérifiées à ce stade et ne permettent pas de considérer comme suffisamment fiables les résultats avancés</w:t>
      </w:r>
      <w:r w:rsidRPr="004746BB">
        <w:rPr>
          <w:rFonts w:ascii="Garamond" w:hAnsi="Garamond"/>
          <w:i/>
          <w:iCs/>
          <w:color w:val="000000" w:themeColor="text1"/>
        </w:rPr>
        <w:t>, d</w:t>
      </w:r>
      <w:r w:rsidR="00F86CA7">
        <w:rPr>
          <w:rFonts w:ascii="Garamond" w:hAnsi="Garamond"/>
          <w:i/>
          <w:iCs/>
          <w:color w:val="000000" w:themeColor="text1"/>
        </w:rPr>
        <w:t>’</w:t>
      </w:r>
      <w:r w:rsidRPr="004746BB">
        <w:rPr>
          <w:rFonts w:ascii="Garamond" w:hAnsi="Garamond"/>
          <w:i/>
          <w:iCs/>
          <w:color w:val="000000" w:themeColor="text1"/>
        </w:rPr>
        <w:t>autre part, les conclusions de cette évaluation apparaissent en contradiction avec l</w:t>
      </w:r>
      <w:r w:rsidR="00F86CA7">
        <w:rPr>
          <w:rFonts w:ascii="Garamond" w:hAnsi="Garamond"/>
          <w:i/>
          <w:iCs/>
          <w:color w:val="000000" w:themeColor="text1"/>
        </w:rPr>
        <w:t>’</w:t>
      </w:r>
      <w:r w:rsidRPr="004746BB">
        <w:rPr>
          <w:rFonts w:ascii="Garamond" w:hAnsi="Garamond"/>
          <w:i/>
          <w:iCs/>
          <w:color w:val="000000" w:themeColor="text1"/>
        </w:rPr>
        <w:t>analyse par objectifs sectoriels de la stratégie nationale bas carbone menée par le Haut conseil pour le climat, laquelle n</w:t>
      </w:r>
      <w:r w:rsidR="00F86CA7">
        <w:rPr>
          <w:rFonts w:ascii="Garamond" w:hAnsi="Garamond"/>
          <w:i/>
          <w:iCs/>
          <w:color w:val="000000" w:themeColor="text1"/>
        </w:rPr>
        <w:t>’</w:t>
      </w:r>
      <w:r w:rsidRPr="004746BB">
        <w:rPr>
          <w:rFonts w:ascii="Garamond" w:hAnsi="Garamond"/>
          <w:i/>
          <w:iCs/>
          <w:color w:val="000000" w:themeColor="text1"/>
        </w:rPr>
        <w:t xml:space="preserve">a été remise en cause, dans sa méthodologie ou les conclusions auxquelles elle aboutit, par aucune des parties. Dans ces conditions, </w:t>
      </w:r>
      <w:r w:rsidRPr="004746BB">
        <w:rPr>
          <w:rFonts w:ascii="Garamond" w:hAnsi="Garamond"/>
          <w:i/>
          <w:iCs/>
          <w:color w:val="000000" w:themeColor="text1"/>
          <w:u w:val="single"/>
        </w:rPr>
        <w:t>et compte tenu notamment du renforcement de l</w:t>
      </w:r>
      <w:r w:rsidR="00F86CA7">
        <w:rPr>
          <w:rFonts w:ascii="Garamond" w:hAnsi="Garamond"/>
          <w:i/>
          <w:iCs/>
          <w:color w:val="000000" w:themeColor="text1"/>
          <w:u w:val="single"/>
        </w:rPr>
        <w:t>’</w:t>
      </w:r>
      <w:r w:rsidRPr="004746BB">
        <w:rPr>
          <w:rFonts w:ascii="Garamond" w:hAnsi="Garamond"/>
          <w:i/>
          <w:iCs/>
          <w:color w:val="000000" w:themeColor="text1"/>
          <w:u w:val="single"/>
        </w:rPr>
        <w:t>ampleur des réductions de gaz à effet de serre attendues par les 3ème et 4ème budgets carbone par rapport au niveau constaté jusqu</w:t>
      </w:r>
      <w:r w:rsidR="00F86CA7">
        <w:rPr>
          <w:rFonts w:ascii="Garamond" w:hAnsi="Garamond"/>
          <w:i/>
          <w:iCs/>
          <w:color w:val="000000" w:themeColor="text1"/>
          <w:u w:val="single"/>
        </w:rPr>
        <w:t>’</w:t>
      </w:r>
      <w:r w:rsidRPr="004746BB">
        <w:rPr>
          <w:rFonts w:ascii="Garamond" w:hAnsi="Garamond"/>
          <w:i/>
          <w:iCs/>
          <w:color w:val="000000" w:themeColor="text1"/>
          <w:u w:val="single"/>
        </w:rPr>
        <w:t>ici, il demeure des incertitudes persistantes, qui n</w:t>
      </w:r>
      <w:r w:rsidR="00F86CA7">
        <w:rPr>
          <w:rFonts w:ascii="Garamond" w:hAnsi="Garamond"/>
          <w:i/>
          <w:iCs/>
          <w:color w:val="000000" w:themeColor="text1"/>
          <w:u w:val="single"/>
        </w:rPr>
        <w:t>’</w:t>
      </w:r>
      <w:r w:rsidRPr="004746BB">
        <w:rPr>
          <w:rFonts w:ascii="Garamond" w:hAnsi="Garamond"/>
          <w:i/>
          <w:iCs/>
          <w:color w:val="000000" w:themeColor="text1"/>
          <w:u w:val="single"/>
        </w:rPr>
        <w:t>ont pas été levées par l</w:t>
      </w:r>
      <w:r w:rsidR="00F86CA7">
        <w:rPr>
          <w:rFonts w:ascii="Garamond" w:hAnsi="Garamond"/>
          <w:i/>
          <w:iCs/>
          <w:color w:val="000000" w:themeColor="text1"/>
          <w:u w:val="single"/>
        </w:rPr>
        <w:t>’</w:t>
      </w:r>
      <w:r w:rsidRPr="004746BB">
        <w:rPr>
          <w:rFonts w:ascii="Garamond" w:hAnsi="Garamond"/>
          <w:i/>
          <w:iCs/>
          <w:color w:val="000000" w:themeColor="text1"/>
          <w:u w:val="single"/>
        </w:rPr>
        <w:t>instruction contradictoire menée</w:t>
      </w:r>
      <w:r w:rsidRPr="004746BB">
        <w:rPr>
          <w:rFonts w:ascii="Garamond" w:hAnsi="Garamond"/>
          <w:i/>
          <w:iCs/>
          <w:color w:val="000000" w:themeColor="text1"/>
        </w:rPr>
        <w:t>, complétée par la séance orale d</w:t>
      </w:r>
      <w:r w:rsidR="00F86CA7">
        <w:rPr>
          <w:rFonts w:ascii="Garamond" w:hAnsi="Garamond"/>
          <w:i/>
          <w:iCs/>
          <w:color w:val="000000" w:themeColor="text1"/>
        </w:rPr>
        <w:t>’</w:t>
      </w:r>
      <w:r w:rsidRPr="004746BB">
        <w:rPr>
          <w:rFonts w:ascii="Garamond" w:hAnsi="Garamond"/>
          <w:i/>
          <w:iCs/>
          <w:color w:val="000000" w:themeColor="text1"/>
        </w:rPr>
        <w:t xml:space="preserve">instruction, </w:t>
      </w:r>
      <w:r w:rsidRPr="004746BB">
        <w:rPr>
          <w:rFonts w:ascii="Garamond" w:hAnsi="Garamond"/>
          <w:i/>
          <w:iCs/>
          <w:color w:val="000000" w:themeColor="text1"/>
          <w:u w:val="single"/>
        </w:rPr>
        <w:t>quant à la capacité des mesures prises à ce jour et des modalités de coordination stratégique et opérationnelle de l</w:t>
      </w:r>
      <w:r w:rsidR="00F86CA7">
        <w:rPr>
          <w:rFonts w:ascii="Garamond" w:hAnsi="Garamond"/>
          <w:i/>
          <w:iCs/>
          <w:color w:val="000000" w:themeColor="text1"/>
          <w:u w:val="single"/>
        </w:rPr>
        <w:t>’</w:t>
      </w:r>
      <w:r w:rsidRPr="004746BB">
        <w:rPr>
          <w:rFonts w:ascii="Garamond" w:hAnsi="Garamond"/>
          <w:i/>
          <w:iCs/>
          <w:color w:val="000000" w:themeColor="text1"/>
          <w:u w:val="single"/>
        </w:rPr>
        <w:t>ensemble de l</w:t>
      </w:r>
      <w:r w:rsidR="00F86CA7">
        <w:rPr>
          <w:rFonts w:ascii="Garamond" w:hAnsi="Garamond"/>
          <w:i/>
          <w:iCs/>
          <w:color w:val="000000" w:themeColor="text1"/>
          <w:u w:val="single"/>
        </w:rPr>
        <w:t>’</w:t>
      </w:r>
      <w:r w:rsidRPr="004746BB">
        <w:rPr>
          <w:rFonts w:ascii="Garamond" w:hAnsi="Garamond"/>
          <w:i/>
          <w:iCs/>
          <w:color w:val="000000" w:themeColor="text1"/>
          <w:u w:val="single"/>
        </w:rPr>
        <w:t>action publique mises en œuvre, à rendre suffisamment crédible l</w:t>
      </w:r>
      <w:r w:rsidR="00F86CA7">
        <w:rPr>
          <w:rFonts w:ascii="Garamond" w:hAnsi="Garamond"/>
          <w:i/>
          <w:iCs/>
          <w:color w:val="000000" w:themeColor="text1"/>
          <w:u w:val="single"/>
        </w:rPr>
        <w:t>’</w:t>
      </w:r>
      <w:r w:rsidRPr="004746BB">
        <w:rPr>
          <w:rFonts w:ascii="Garamond" w:hAnsi="Garamond"/>
          <w:i/>
          <w:iCs/>
          <w:color w:val="000000" w:themeColor="text1"/>
          <w:u w:val="single"/>
        </w:rPr>
        <w:t>atteinte d</w:t>
      </w:r>
      <w:r w:rsidR="00F86CA7">
        <w:rPr>
          <w:rFonts w:ascii="Garamond" w:hAnsi="Garamond"/>
          <w:i/>
          <w:iCs/>
          <w:color w:val="000000" w:themeColor="text1"/>
          <w:u w:val="single"/>
        </w:rPr>
        <w:t>’</w:t>
      </w:r>
      <w:r w:rsidRPr="004746BB">
        <w:rPr>
          <w:rFonts w:ascii="Garamond" w:hAnsi="Garamond"/>
          <w:i/>
          <w:iCs/>
          <w:color w:val="000000" w:themeColor="text1"/>
          <w:u w:val="single"/>
        </w:rPr>
        <w:t>un rythme de diminution des émissions territoriales de gaz à effet de serre cohérent avec les objectifs de réduction fixés pour 2030</w:t>
      </w:r>
      <w:r w:rsidRPr="004746BB">
        <w:rPr>
          <w:rFonts w:ascii="Garamond" w:hAnsi="Garamond"/>
          <w:i/>
          <w:iCs/>
          <w:color w:val="000000" w:themeColor="text1"/>
        </w:rPr>
        <w:t xml:space="preserve"> par les dispositions législatives nationales ou par le droit de l</w:t>
      </w:r>
      <w:r w:rsidR="00F86CA7">
        <w:rPr>
          <w:rFonts w:ascii="Garamond" w:hAnsi="Garamond"/>
          <w:i/>
          <w:iCs/>
          <w:color w:val="000000" w:themeColor="text1"/>
        </w:rPr>
        <w:t>’</w:t>
      </w:r>
      <w:r w:rsidRPr="004746BB">
        <w:rPr>
          <w:rFonts w:ascii="Garamond" w:hAnsi="Garamond"/>
          <w:i/>
          <w:iCs/>
          <w:color w:val="000000" w:themeColor="text1"/>
        </w:rPr>
        <w:t>Union européenne pertinents. Il en résulte qu</w:t>
      </w:r>
      <w:r w:rsidR="00F86CA7">
        <w:rPr>
          <w:rFonts w:ascii="Garamond" w:hAnsi="Garamond"/>
          <w:i/>
          <w:iCs/>
          <w:color w:val="000000" w:themeColor="text1"/>
        </w:rPr>
        <w:t>’</w:t>
      </w:r>
      <w:r w:rsidRPr="004746BB">
        <w:rPr>
          <w:rFonts w:ascii="Garamond" w:hAnsi="Garamond"/>
          <w:i/>
          <w:iCs/>
          <w:color w:val="000000" w:themeColor="text1"/>
        </w:rPr>
        <w:t>en l</w:t>
      </w:r>
      <w:r w:rsidR="00F86CA7">
        <w:rPr>
          <w:rFonts w:ascii="Garamond" w:hAnsi="Garamond"/>
          <w:i/>
          <w:iCs/>
          <w:color w:val="000000" w:themeColor="text1"/>
        </w:rPr>
        <w:t>’</w:t>
      </w:r>
      <w:r w:rsidRPr="004746BB">
        <w:rPr>
          <w:rFonts w:ascii="Garamond" w:hAnsi="Garamond"/>
          <w:i/>
          <w:iCs/>
          <w:color w:val="000000" w:themeColor="text1"/>
        </w:rPr>
        <w:t>état de l</w:t>
      </w:r>
      <w:r w:rsidR="00F86CA7">
        <w:rPr>
          <w:rFonts w:ascii="Garamond" w:hAnsi="Garamond"/>
          <w:i/>
          <w:iCs/>
          <w:color w:val="000000" w:themeColor="text1"/>
        </w:rPr>
        <w:t>’</w:t>
      </w:r>
      <w:r w:rsidRPr="004746BB">
        <w:rPr>
          <w:rFonts w:ascii="Garamond" w:hAnsi="Garamond"/>
          <w:i/>
          <w:iCs/>
          <w:color w:val="000000" w:themeColor="text1"/>
        </w:rPr>
        <w:t>instruction, la décision du 1er juillet 2021 ne peut être regardée comme complètement exécutée.</w:t>
      </w:r>
      <w:r w:rsidRPr="004746BB">
        <w:rPr>
          <w:rFonts w:ascii="Garamond" w:hAnsi="Garamond"/>
          <w:color w:val="000000" w:themeColor="text1"/>
        </w:rPr>
        <w:t xml:space="preserve"> </w:t>
      </w:r>
      <w:r>
        <w:rPr>
          <w:rFonts w:ascii="Garamond" w:hAnsi="Garamond"/>
          <w:color w:val="000000" w:themeColor="text1"/>
        </w:rPr>
        <w:t xml:space="preserve">[…] » (CE, 10 mai 2023, </w:t>
      </w:r>
      <w:r w:rsidRPr="00A76C93">
        <w:rPr>
          <w:rFonts w:ascii="Garamond" w:hAnsi="Garamond"/>
          <w:i/>
          <w:iCs/>
          <w:color w:val="000000" w:themeColor="text1"/>
        </w:rPr>
        <w:t>Commune de Grande-Synthe et autres</w:t>
      </w:r>
      <w:r>
        <w:rPr>
          <w:rFonts w:ascii="Garamond" w:hAnsi="Garamond"/>
          <w:color w:val="000000" w:themeColor="text1"/>
        </w:rPr>
        <w:t>, req. n° </w:t>
      </w:r>
      <w:r w:rsidRPr="00A76C93">
        <w:rPr>
          <w:rFonts w:ascii="Garamond" w:hAnsi="Garamond"/>
          <w:color w:val="000000" w:themeColor="text1"/>
        </w:rPr>
        <w:t>467982</w:t>
      </w:r>
      <w:r>
        <w:rPr>
          <w:rFonts w:ascii="Garamond" w:hAnsi="Garamond"/>
          <w:color w:val="000000" w:themeColor="text1"/>
        </w:rPr>
        <w:t xml:space="preserve">, publié au recueil Lebon, soulignement ajouté). </w:t>
      </w:r>
    </w:p>
    <w:p w14:paraId="599F205C" w14:textId="4F5D872D" w:rsidR="004746BB" w:rsidRDefault="004746BB" w:rsidP="00A76C93">
      <w:pPr>
        <w:tabs>
          <w:tab w:val="left" w:pos="6440"/>
        </w:tabs>
        <w:spacing w:line="252" w:lineRule="auto"/>
        <w:jc w:val="both"/>
        <w:rPr>
          <w:rFonts w:ascii="Garamond" w:hAnsi="Garamond"/>
          <w:color w:val="000000" w:themeColor="text1"/>
        </w:rPr>
      </w:pPr>
    </w:p>
    <w:p w14:paraId="2AF5CA80" w14:textId="590902CD" w:rsid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Plusieurs enseignements </w:t>
      </w:r>
      <w:r w:rsidR="00A76C93" w:rsidRPr="00A76C93">
        <w:rPr>
          <w:rFonts w:ascii="Garamond" w:hAnsi="Garamond"/>
          <w:color w:val="000000" w:themeColor="text1"/>
        </w:rPr>
        <w:t xml:space="preserve">peuvent être tirés de cette décision. </w:t>
      </w:r>
    </w:p>
    <w:p w14:paraId="605197D3" w14:textId="77777777" w:rsidR="004746BB" w:rsidRDefault="004746BB" w:rsidP="004746BB">
      <w:pPr>
        <w:spacing w:line="252" w:lineRule="auto"/>
        <w:jc w:val="both"/>
        <w:rPr>
          <w:rFonts w:ascii="Garamond" w:hAnsi="Garamond"/>
        </w:rPr>
      </w:pPr>
    </w:p>
    <w:p w14:paraId="353A65C6"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1C5F3AE4" w14:textId="77777777" w:rsidR="004746BB" w:rsidRDefault="004746BB" w:rsidP="004746BB">
      <w:pPr>
        <w:tabs>
          <w:tab w:val="left" w:pos="6440"/>
        </w:tabs>
        <w:spacing w:line="252" w:lineRule="auto"/>
        <w:jc w:val="both"/>
        <w:rPr>
          <w:rFonts w:ascii="Garamond" w:hAnsi="Garamond"/>
          <w:color w:val="000000" w:themeColor="text1"/>
        </w:rPr>
      </w:pPr>
    </w:p>
    <w:p w14:paraId="229D7B77" w14:textId="2A8667EA"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lastRenderedPageBreak/>
        <w:t xml:space="preserve">(i) </w:t>
      </w:r>
      <w:r w:rsidR="00A76C93" w:rsidRPr="00A76C93">
        <w:rPr>
          <w:rFonts w:ascii="Garamond" w:hAnsi="Garamond"/>
          <w:color w:val="000000" w:themeColor="text1"/>
        </w:rPr>
        <w:t>D</w:t>
      </w:r>
      <w:r w:rsidR="00F86CA7">
        <w:rPr>
          <w:rFonts w:ascii="Garamond" w:hAnsi="Garamond"/>
          <w:color w:val="000000" w:themeColor="text1"/>
        </w:rPr>
        <w:t>’</w:t>
      </w:r>
      <w:r w:rsidR="00A76C93" w:rsidRPr="00A76C93">
        <w:rPr>
          <w:rFonts w:ascii="Garamond" w:hAnsi="Garamond"/>
          <w:color w:val="000000" w:themeColor="text1"/>
        </w:rPr>
        <w:t>un</w:t>
      </w:r>
      <w:r>
        <w:rPr>
          <w:rFonts w:ascii="Garamond" w:hAnsi="Garamond"/>
          <w:color w:val="000000" w:themeColor="text1"/>
        </w:rPr>
        <w:t xml:space="preserve">e part, </w:t>
      </w:r>
      <w:r w:rsidR="00A76C93" w:rsidRPr="00A76C93">
        <w:rPr>
          <w:rFonts w:ascii="Garamond" w:hAnsi="Garamond"/>
          <w:color w:val="000000" w:themeColor="text1"/>
        </w:rPr>
        <w:t xml:space="preserve">elle révèle que la plupart des mesures </w:t>
      </w:r>
      <w:r>
        <w:rPr>
          <w:rFonts w:ascii="Garamond" w:hAnsi="Garamond"/>
          <w:color w:val="000000" w:themeColor="text1"/>
        </w:rPr>
        <w:t>adoptées par l</w:t>
      </w:r>
      <w:r w:rsidR="00F86CA7">
        <w:rPr>
          <w:rFonts w:ascii="Garamond" w:hAnsi="Garamond"/>
          <w:color w:val="000000" w:themeColor="text1"/>
        </w:rPr>
        <w:t>’</w:t>
      </w:r>
      <w:r>
        <w:rPr>
          <w:rFonts w:ascii="Garamond" w:hAnsi="Garamond"/>
          <w:color w:val="000000" w:themeColor="text1"/>
        </w:rPr>
        <w:t>État</w:t>
      </w:r>
      <w:r w:rsidR="00A76C93" w:rsidRPr="00A76C93">
        <w:rPr>
          <w:rFonts w:ascii="Garamond" w:hAnsi="Garamond"/>
          <w:color w:val="000000" w:themeColor="text1"/>
        </w:rPr>
        <w:t xml:space="preserve"> ne sont pas susceptibles de produire des effets immédiats. </w:t>
      </w:r>
    </w:p>
    <w:p w14:paraId="348D84CC" w14:textId="77777777" w:rsidR="004746BB" w:rsidRDefault="004746BB" w:rsidP="00A76C93">
      <w:pPr>
        <w:tabs>
          <w:tab w:val="left" w:pos="6440"/>
        </w:tabs>
        <w:spacing w:line="252" w:lineRule="auto"/>
        <w:jc w:val="both"/>
        <w:rPr>
          <w:rFonts w:ascii="Garamond" w:hAnsi="Garamond"/>
          <w:color w:val="000000" w:themeColor="text1"/>
        </w:rPr>
      </w:pPr>
    </w:p>
    <w:p w14:paraId="006ED08B" w14:textId="5250AAB2"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 xml:space="preserve">Et pour cause : </w:t>
      </w:r>
      <w:r w:rsidR="00A76C93" w:rsidRPr="00A76C93">
        <w:rPr>
          <w:rFonts w:ascii="Garamond" w:hAnsi="Garamond"/>
          <w:color w:val="000000" w:themeColor="text1"/>
        </w:rPr>
        <w:t>parmi les mesures adoptées par l</w:t>
      </w:r>
      <w:r w:rsidR="00F86CA7">
        <w:rPr>
          <w:rFonts w:ascii="Garamond" w:hAnsi="Garamond"/>
          <w:color w:val="000000" w:themeColor="text1"/>
        </w:rPr>
        <w:t>’</w:t>
      </w:r>
      <w:r w:rsidR="00A76C93" w:rsidRPr="00A76C93">
        <w:rPr>
          <w:rFonts w:ascii="Garamond" w:hAnsi="Garamond"/>
          <w:color w:val="000000" w:themeColor="text1"/>
        </w:rPr>
        <w:t>État, la majorité d</w:t>
      </w:r>
      <w:r w:rsidR="00F86CA7">
        <w:rPr>
          <w:rFonts w:ascii="Garamond" w:hAnsi="Garamond"/>
          <w:color w:val="000000" w:themeColor="text1"/>
        </w:rPr>
        <w:t>’</w:t>
      </w:r>
      <w:r w:rsidR="00A76C93" w:rsidRPr="00A76C93">
        <w:rPr>
          <w:rFonts w:ascii="Garamond" w:hAnsi="Garamond"/>
          <w:color w:val="000000" w:themeColor="text1"/>
        </w:rPr>
        <w:t xml:space="preserve">entre elles </w:t>
      </w:r>
      <w:r>
        <w:rPr>
          <w:rFonts w:ascii="Garamond" w:hAnsi="Garamond"/>
          <w:color w:val="000000" w:themeColor="text1"/>
        </w:rPr>
        <w:t xml:space="preserve">ne </w:t>
      </w:r>
      <w:r w:rsidR="00A76C93" w:rsidRPr="00A76C93">
        <w:rPr>
          <w:rFonts w:ascii="Garamond" w:hAnsi="Garamond"/>
          <w:color w:val="000000" w:themeColor="text1"/>
        </w:rPr>
        <w:t xml:space="preserve">déploiera ses effets </w:t>
      </w:r>
      <w:r>
        <w:rPr>
          <w:rFonts w:ascii="Garamond" w:hAnsi="Garamond"/>
          <w:color w:val="000000" w:themeColor="text1"/>
        </w:rPr>
        <w:t>qu</w:t>
      </w:r>
      <w:r w:rsidR="00F86CA7">
        <w:rPr>
          <w:rFonts w:ascii="Garamond" w:hAnsi="Garamond"/>
          <w:color w:val="000000" w:themeColor="text1"/>
        </w:rPr>
        <w:t>’</w:t>
      </w:r>
      <w:r w:rsidR="00A76C93" w:rsidRPr="00A76C93">
        <w:rPr>
          <w:rFonts w:ascii="Garamond" w:hAnsi="Garamond"/>
          <w:color w:val="000000" w:themeColor="text1"/>
        </w:rPr>
        <w:t>à mesure de l</w:t>
      </w:r>
      <w:r w:rsidR="00F86CA7">
        <w:rPr>
          <w:rFonts w:ascii="Garamond" w:hAnsi="Garamond"/>
          <w:color w:val="000000" w:themeColor="text1"/>
        </w:rPr>
        <w:t>’</w:t>
      </w:r>
      <w:r w:rsidR="00A76C93" w:rsidRPr="00A76C93">
        <w:rPr>
          <w:rFonts w:ascii="Garamond" w:hAnsi="Garamond"/>
          <w:color w:val="000000" w:themeColor="text1"/>
        </w:rPr>
        <w:t>avancement du temps, et certaines d</w:t>
      </w:r>
      <w:r w:rsidR="00F86CA7">
        <w:rPr>
          <w:rFonts w:ascii="Garamond" w:hAnsi="Garamond"/>
          <w:color w:val="000000" w:themeColor="text1"/>
        </w:rPr>
        <w:t>’</w:t>
      </w:r>
      <w:r w:rsidR="00A76C93" w:rsidRPr="00A76C93">
        <w:rPr>
          <w:rFonts w:ascii="Garamond" w:hAnsi="Garamond"/>
          <w:color w:val="000000" w:themeColor="text1"/>
        </w:rPr>
        <w:t>entre elles ne les déploieront qu</w:t>
      </w:r>
      <w:r w:rsidR="00F86CA7">
        <w:rPr>
          <w:rFonts w:ascii="Garamond" w:hAnsi="Garamond"/>
          <w:color w:val="000000" w:themeColor="text1"/>
        </w:rPr>
        <w:t>’</w:t>
      </w:r>
      <w:r w:rsidR="00A76C93" w:rsidRPr="00A76C93">
        <w:rPr>
          <w:rFonts w:ascii="Garamond" w:hAnsi="Garamond"/>
          <w:color w:val="000000" w:themeColor="text1"/>
        </w:rPr>
        <w:t>après 2030</w:t>
      </w:r>
      <w:r>
        <w:rPr>
          <w:rFonts w:ascii="Garamond" w:hAnsi="Garamond"/>
          <w:color w:val="000000" w:themeColor="text1"/>
        </w:rPr>
        <w:t xml:space="preserve"> (voir, en ce sens : concl. S. HOYNCK sur CE, 10 mai 2023, </w:t>
      </w:r>
      <w:r w:rsidRPr="00A76C93">
        <w:rPr>
          <w:rFonts w:ascii="Garamond" w:hAnsi="Garamond"/>
          <w:i/>
          <w:iCs/>
          <w:color w:val="000000" w:themeColor="text1"/>
        </w:rPr>
        <w:t>Commune de Grande-Synthe et autres</w:t>
      </w:r>
      <w:r>
        <w:rPr>
          <w:rFonts w:ascii="Garamond" w:hAnsi="Garamond"/>
          <w:color w:val="000000" w:themeColor="text1"/>
        </w:rPr>
        <w:t>, req. n° </w:t>
      </w:r>
      <w:r w:rsidRPr="00A76C93">
        <w:rPr>
          <w:rFonts w:ascii="Garamond" w:hAnsi="Garamond"/>
          <w:color w:val="000000" w:themeColor="text1"/>
        </w:rPr>
        <w:t>467982</w:t>
      </w:r>
      <w:r>
        <w:rPr>
          <w:rFonts w:ascii="Garamond" w:hAnsi="Garamond"/>
          <w:color w:val="000000" w:themeColor="text1"/>
        </w:rPr>
        <w:t xml:space="preserve">, publié au recueil Lebon, soulignement ajouté). </w:t>
      </w:r>
    </w:p>
    <w:p w14:paraId="475D38BC" w14:textId="77777777" w:rsidR="004746BB" w:rsidRDefault="004746BB" w:rsidP="00A76C93">
      <w:pPr>
        <w:tabs>
          <w:tab w:val="left" w:pos="6440"/>
        </w:tabs>
        <w:spacing w:line="252" w:lineRule="auto"/>
        <w:jc w:val="both"/>
        <w:rPr>
          <w:rFonts w:ascii="Garamond" w:hAnsi="Garamond"/>
          <w:color w:val="000000" w:themeColor="text1"/>
        </w:rPr>
      </w:pPr>
    </w:p>
    <w:p w14:paraId="773FDDF8" w14:textId="6DB59A39" w:rsid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Pour ce motif, déjà, ces mesures ne peuvent être regardée</w:t>
      </w:r>
      <w:r w:rsidR="00A07440">
        <w:rPr>
          <w:rFonts w:ascii="Garamond" w:hAnsi="Garamond"/>
          <w:color w:val="000000" w:themeColor="text1"/>
        </w:rPr>
        <w:t>s</w:t>
      </w:r>
      <w:r>
        <w:rPr>
          <w:rFonts w:ascii="Garamond" w:hAnsi="Garamond"/>
          <w:color w:val="000000" w:themeColor="text1"/>
        </w:rPr>
        <w:t xml:space="preserve"> comme ayant permis de procéder, avant le 31 décembre 2022, à la réparation du préjudice écologique constaté par le Tribunal administratif de Paris. </w:t>
      </w:r>
    </w:p>
    <w:p w14:paraId="00702166" w14:textId="77777777" w:rsidR="004746BB" w:rsidRDefault="004746BB" w:rsidP="004746BB">
      <w:pPr>
        <w:spacing w:line="252" w:lineRule="auto"/>
        <w:jc w:val="both"/>
        <w:rPr>
          <w:rFonts w:ascii="Garamond" w:hAnsi="Garamond"/>
        </w:rPr>
      </w:pPr>
    </w:p>
    <w:p w14:paraId="68BE001F"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5C179CB2" w14:textId="77777777" w:rsidR="004746BB" w:rsidRDefault="004746BB" w:rsidP="004746BB">
      <w:pPr>
        <w:tabs>
          <w:tab w:val="left" w:pos="6440"/>
        </w:tabs>
        <w:spacing w:line="252" w:lineRule="auto"/>
        <w:jc w:val="both"/>
        <w:rPr>
          <w:rFonts w:ascii="Garamond" w:hAnsi="Garamond"/>
          <w:color w:val="000000" w:themeColor="text1"/>
        </w:rPr>
      </w:pPr>
    </w:p>
    <w:p w14:paraId="68336DC0" w14:textId="4CAC53BE" w:rsid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(ii) D</w:t>
      </w:r>
      <w:r w:rsidR="00F86CA7">
        <w:rPr>
          <w:rFonts w:ascii="Garamond" w:hAnsi="Garamond"/>
          <w:color w:val="000000" w:themeColor="text1"/>
        </w:rPr>
        <w:t>’</w:t>
      </w:r>
      <w:r>
        <w:rPr>
          <w:rFonts w:ascii="Garamond" w:hAnsi="Garamond"/>
          <w:color w:val="000000" w:themeColor="text1"/>
        </w:rPr>
        <w:t>autre part, le raisonnement opéré par le Conseil d</w:t>
      </w:r>
      <w:r w:rsidR="00F86CA7">
        <w:rPr>
          <w:rFonts w:ascii="Garamond" w:hAnsi="Garamond"/>
          <w:color w:val="000000" w:themeColor="text1"/>
        </w:rPr>
        <w:t>’</w:t>
      </w:r>
      <w:r>
        <w:rPr>
          <w:rFonts w:ascii="Garamond" w:hAnsi="Garamond"/>
          <w:color w:val="000000" w:themeColor="text1"/>
        </w:rPr>
        <w:t>État confirme</w:t>
      </w:r>
      <w:r w:rsidR="00A76C93" w:rsidRPr="00A76C93">
        <w:rPr>
          <w:rFonts w:ascii="Garamond" w:hAnsi="Garamond"/>
          <w:color w:val="000000" w:themeColor="text1"/>
        </w:rPr>
        <w:t xml:space="preserve"> que les mesures issues de la loi </w:t>
      </w:r>
      <w:r w:rsidRPr="004746BB">
        <w:rPr>
          <w:rFonts w:ascii="Garamond" w:hAnsi="Garamond"/>
          <w:color w:val="000000" w:themeColor="text1"/>
        </w:rPr>
        <w:t xml:space="preserve">du 22 août 2021 </w:t>
      </w:r>
      <w:r w:rsidR="00A76C93" w:rsidRPr="00A76C93">
        <w:rPr>
          <w:rFonts w:ascii="Garamond" w:hAnsi="Garamond"/>
          <w:color w:val="000000" w:themeColor="text1"/>
        </w:rPr>
        <w:t>n</w:t>
      </w:r>
      <w:r w:rsidR="00F86CA7">
        <w:rPr>
          <w:rFonts w:ascii="Garamond" w:hAnsi="Garamond"/>
          <w:color w:val="000000" w:themeColor="text1"/>
        </w:rPr>
        <w:t>’</w:t>
      </w:r>
      <w:r w:rsidR="00A76C93" w:rsidRPr="00A76C93">
        <w:rPr>
          <w:rFonts w:ascii="Garamond" w:hAnsi="Garamond"/>
          <w:color w:val="000000" w:themeColor="text1"/>
        </w:rPr>
        <w:t>ont pas été spécifiquement adoptées pour réparer le préjudice écologique</w:t>
      </w:r>
      <w:r>
        <w:rPr>
          <w:rFonts w:ascii="Garamond" w:hAnsi="Garamond"/>
          <w:color w:val="000000" w:themeColor="text1"/>
        </w:rPr>
        <w:t xml:space="preserve"> lié au surplus d</w:t>
      </w:r>
      <w:r w:rsidR="00F86CA7">
        <w:rPr>
          <w:rFonts w:ascii="Garamond" w:hAnsi="Garamond"/>
          <w:color w:val="000000" w:themeColor="text1"/>
        </w:rPr>
        <w:t>’</w:t>
      </w:r>
      <w:r>
        <w:rPr>
          <w:rFonts w:ascii="Garamond" w:hAnsi="Garamond"/>
          <w:color w:val="000000" w:themeColor="text1"/>
        </w:rPr>
        <w:t xml:space="preserve">émissions résultant du dépassement du premier budget carbone. </w:t>
      </w:r>
    </w:p>
    <w:p w14:paraId="2459CCD3" w14:textId="77777777" w:rsidR="004746BB" w:rsidRPr="00A76C93" w:rsidRDefault="004746BB" w:rsidP="00A76C93">
      <w:pPr>
        <w:tabs>
          <w:tab w:val="left" w:pos="6440"/>
        </w:tabs>
        <w:spacing w:line="252" w:lineRule="auto"/>
        <w:jc w:val="both"/>
        <w:rPr>
          <w:rFonts w:ascii="Garamond" w:hAnsi="Garamond"/>
          <w:color w:val="000000" w:themeColor="text1"/>
        </w:rPr>
      </w:pPr>
    </w:p>
    <w:p w14:paraId="180645EE" w14:textId="11EA7CF6"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Au contraire, ces mesures ont été</w:t>
      </w:r>
      <w:r w:rsidR="004746BB">
        <w:rPr>
          <w:rFonts w:ascii="Garamond" w:hAnsi="Garamond"/>
          <w:color w:val="000000" w:themeColor="text1"/>
        </w:rPr>
        <w:t xml:space="preserve"> </w:t>
      </w:r>
      <w:r w:rsidRPr="00A76C93">
        <w:rPr>
          <w:rFonts w:ascii="Garamond" w:hAnsi="Garamond"/>
          <w:color w:val="000000" w:themeColor="text1"/>
        </w:rPr>
        <w:t>présentées par l</w:t>
      </w:r>
      <w:r w:rsidR="00F86CA7">
        <w:rPr>
          <w:rFonts w:ascii="Garamond" w:hAnsi="Garamond"/>
          <w:color w:val="000000" w:themeColor="text1"/>
        </w:rPr>
        <w:t>’</w:t>
      </w:r>
      <w:r w:rsidRPr="00A76C93">
        <w:rPr>
          <w:rFonts w:ascii="Garamond" w:hAnsi="Garamond"/>
          <w:color w:val="000000" w:themeColor="text1"/>
        </w:rPr>
        <w:t xml:space="preserve">État comme </w:t>
      </w:r>
      <w:r w:rsidR="004746BB">
        <w:rPr>
          <w:rFonts w:ascii="Garamond" w:hAnsi="Garamond"/>
          <w:color w:val="000000" w:themeColor="text1"/>
        </w:rPr>
        <w:t>permettant uniquement de</w:t>
      </w:r>
      <w:r w:rsidRPr="00A76C93">
        <w:rPr>
          <w:rFonts w:ascii="Garamond" w:hAnsi="Garamond"/>
          <w:color w:val="000000" w:themeColor="text1"/>
        </w:rPr>
        <w:t xml:space="preserve"> </w:t>
      </w:r>
      <w:r w:rsidR="004746BB">
        <w:rPr>
          <w:rFonts w:ascii="Garamond" w:hAnsi="Garamond"/>
          <w:color w:val="000000" w:themeColor="text1"/>
        </w:rPr>
        <w:t>renforcer</w:t>
      </w:r>
      <w:r w:rsidRPr="00A76C93">
        <w:rPr>
          <w:rFonts w:ascii="Garamond" w:hAnsi="Garamond"/>
          <w:color w:val="000000" w:themeColor="text1"/>
        </w:rPr>
        <w:t>, sur le moyen terme, l</w:t>
      </w:r>
      <w:r w:rsidR="00F86CA7">
        <w:rPr>
          <w:rFonts w:ascii="Garamond" w:hAnsi="Garamond"/>
          <w:color w:val="000000" w:themeColor="text1"/>
        </w:rPr>
        <w:t>’</w:t>
      </w:r>
      <w:r w:rsidRPr="00A76C93">
        <w:rPr>
          <w:rFonts w:ascii="Garamond" w:hAnsi="Garamond"/>
          <w:color w:val="000000" w:themeColor="text1"/>
        </w:rPr>
        <w:t>effort nécessaire pour entamer l</w:t>
      </w:r>
      <w:r w:rsidR="00F86CA7">
        <w:rPr>
          <w:rFonts w:ascii="Garamond" w:hAnsi="Garamond"/>
          <w:color w:val="000000" w:themeColor="text1"/>
        </w:rPr>
        <w:t>’</w:t>
      </w:r>
      <w:r w:rsidRPr="00A76C93">
        <w:rPr>
          <w:rFonts w:ascii="Garamond" w:hAnsi="Garamond"/>
          <w:color w:val="000000" w:themeColor="text1"/>
        </w:rPr>
        <w:t>accélération de la réduction des émissions</w:t>
      </w:r>
      <w:r w:rsidR="004746BB">
        <w:rPr>
          <w:rFonts w:ascii="Garamond" w:hAnsi="Garamond"/>
          <w:color w:val="000000" w:themeColor="text1"/>
        </w:rPr>
        <w:t xml:space="preserve">, </w:t>
      </w:r>
      <w:r w:rsidRPr="00A76C93">
        <w:rPr>
          <w:rFonts w:ascii="Garamond" w:hAnsi="Garamond"/>
          <w:color w:val="000000" w:themeColor="text1"/>
        </w:rPr>
        <w:t xml:space="preserve">exigée dès le troisième budget carbone. </w:t>
      </w:r>
    </w:p>
    <w:p w14:paraId="1943B05A" w14:textId="77777777" w:rsidR="004746BB" w:rsidRPr="00A76C93" w:rsidRDefault="004746BB" w:rsidP="00A76C93">
      <w:pPr>
        <w:tabs>
          <w:tab w:val="left" w:pos="6440"/>
        </w:tabs>
        <w:spacing w:line="252" w:lineRule="auto"/>
        <w:jc w:val="both"/>
        <w:rPr>
          <w:rFonts w:ascii="Garamond" w:hAnsi="Garamond"/>
          <w:color w:val="000000" w:themeColor="text1"/>
        </w:rPr>
      </w:pPr>
    </w:p>
    <w:p w14:paraId="15BA8094" w14:textId="6AEA7185" w:rsidR="004746BB" w:rsidRDefault="004746BB" w:rsidP="004746BB">
      <w:pPr>
        <w:tabs>
          <w:tab w:val="left" w:pos="6440"/>
        </w:tabs>
        <w:spacing w:line="252" w:lineRule="auto"/>
        <w:jc w:val="both"/>
        <w:rPr>
          <w:rFonts w:ascii="Garamond" w:hAnsi="Garamond"/>
          <w:color w:val="000000" w:themeColor="text1"/>
        </w:rPr>
      </w:pPr>
      <w:r>
        <w:rPr>
          <w:rFonts w:ascii="Garamond" w:hAnsi="Garamond"/>
          <w:color w:val="000000" w:themeColor="text1"/>
        </w:rPr>
        <w:t>Autrement dit</w:t>
      </w:r>
      <w:r w:rsidR="00A76C93" w:rsidRPr="00A76C93">
        <w:rPr>
          <w:rFonts w:ascii="Garamond" w:hAnsi="Garamond"/>
          <w:color w:val="000000" w:themeColor="text1"/>
        </w:rPr>
        <w:t xml:space="preserve">, les mesures mises en œuvre </w:t>
      </w:r>
      <w:r>
        <w:rPr>
          <w:rFonts w:ascii="Garamond" w:hAnsi="Garamond"/>
          <w:color w:val="000000" w:themeColor="text1"/>
        </w:rPr>
        <w:t>dans le cadre de la loi du</w:t>
      </w:r>
      <w:r w:rsidRPr="004746BB">
        <w:rPr>
          <w:rFonts w:ascii="Garamond" w:hAnsi="Garamond"/>
          <w:color w:val="000000" w:themeColor="text1"/>
        </w:rPr>
        <w:t xml:space="preserve"> 22 août 2021</w:t>
      </w:r>
      <w:r w:rsidR="00A76C93" w:rsidRPr="00A76C93">
        <w:rPr>
          <w:rFonts w:ascii="Garamond" w:hAnsi="Garamond"/>
          <w:color w:val="000000" w:themeColor="text1"/>
        </w:rPr>
        <w:t xml:space="preserve"> n</w:t>
      </w:r>
      <w:r w:rsidR="00F86CA7">
        <w:rPr>
          <w:rFonts w:ascii="Garamond" w:hAnsi="Garamond"/>
          <w:color w:val="000000" w:themeColor="text1"/>
        </w:rPr>
        <w:t>’</w:t>
      </w:r>
      <w:r>
        <w:rPr>
          <w:rFonts w:ascii="Garamond" w:hAnsi="Garamond"/>
          <w:color w:val="000000" w:themeColor="text1"/>
        </w:rPr>
        <w:t>avaien</w:t>
      </w:r>
      <w:r w:rsidR="00A76C93" w:rsidRPr="00A76C93">
        <w:rPr>
          <w:rFonts w:ascii="Garamond" w:hAnsi="Garamond"/>
          <w:color w:val="000000" w:themeColor="text1"/>
        </w:rPr>
        <w:t>t pas pour objet de répondre à l</w:t>
      </w:r>
      <w:r w:rsidR="00F86CA7">
        <w:rPr>
          <w:rFonts w:ascii="Garamond" w:hAnsi="Garamond"/>
          <w:color w:val="000000" w:themeColor="text1"/>
        </w:rPr>
        <w:t>’</w:t>
      </w:r>
      <w:r w:rsidR="00A76C93" w:rsidRPr="00A76C93">
        <w:rPr>
          <w:rFonts w:ascii="Garamond" w:hAnsi="Garamond"/>
          <w:color w:val="000000" w:themeColor="text1"/>
        </w:rPr>
        <w:t xml:space="preserve">injonction </w:t>
      </w:r>
      <w:r>
        <w:rPr>
          <w:rFonts w:ascii="Garamond" w:hAnsi="Garamond"/>
          <w:color w:val="000000" w:themeColor="text1"/>
        </w:rPr>
        <w:t>prononcée par le Tribunal administratif de Paris, et n</w:t>
      </w:r>
      <w:r w:rsidR="00F86CA7">
        <w:rPr>
          <w:rFonts w:ascii="Garamond" w:hAnsi="Garamond"/>
          <w:color w:val="000000" w:themeColor="text1"/>
        </w:rPr>
        <w:t>’</w:t>
      </w:r>
      <w:r>
        <w:rPr>
          <w:rFonts w:ascii="Garamond" w:hAnsi="Garamond"/>
          <w:color w:val="000000" w:themeColor="text1"/>
        </w:rPr>
        <w:t>ont</w:t>
      </w:r>
      <w:r w:rsidR="00A76C93" w:rsidRPr="00A76C93">
        <w:rPr>
          <w:rFonts w:ascii="Garamond" w:hAnsi="Garamond"/>
          <w:color w:val="000000" w:themeColor="text1"/>
        </w:rPr>
        <w:t xml:space="preserve"> pas </w:t>
      </w:r>
      <w:r>
        <w:rPr>
          <w:rFonts w:ascii="Garamond" w:hAnsi="Garamond"/>
          <w:color w:val="000000" w:themeColor="text1"/>
        </w:rPr>
        <w:t>davantage é</w:t>
      </w:r>
      <w:r w:rsidR="00A76C93" w:rsidRPr="00A76C93">
        <w:rPr>
          <w:rFonts w:ascii="Garamond" w:hAnsi="Garamond"/>
          <w:color w:val="000000" w:themeColor="text1"/>
        </w:rPr>
        <w:t>té adoptées pour constituer des mesures utiles propres à réparer le préjudice écologique</w:t>
      </w:r>
      <w:r>
        <w:rPr>
          <w:rFonts w:ascii="Garamond" w:hAnsi="Garamond"/>
          <w:color w:val="000000" w:themeColor="text1"/>
        </w:rPr>
        <w:t xml:space="preserve"> ou prévenir son aggravation. </w:t>
      </w:r>
    </w:p>
    <w:p w14:paraId="37FC9F9B" w14:textId="77777777" w:rsidR="004746BB" w:rsidRDefault="004746BB" w:rsidP="004746BB">
      <w:pPr>
        <w:spacing w:line="252" w:lineRule="auto"/>
        <w:jc w:val="both"/>
        <w:rPr>
          <w:rFonts w:ascii="Garamond" w:hAnsi="Garamond"/>
        </w:rPr>
      </w:pPr>
    </w:p>
    <w:p w14:paraId="7183C769"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6785F9A2" w14:textId="77777777" w:rsidR="004746BB" w:rsidRDefault="004746BB" w:rsidP="004746BB">
      <w:pPr>
        <w:tabs>
          <w:tab w:val="left" w:pos="6440"/>
        </w:tabs>
        <w:spacing w:line="252" w:lineRule="auto"/>
        <w:jc w:val="both"/>
        <w:rPr>
          <w:rFonts w:ascii="Garamond" w:hAnsi="Garamond"/>
          <w:color w:val="000000" w:themeColor="text1"/>
        </w:rPr>
      </w:pPr>
    </w:p>
    <w:p w14:paraId="6C9DD838" w14:textId="181B416E" w:rsidR="004746BB" w:rsidRDefault="004746BB" w:rsidP="004746BB">
      <w:pPr>
        <w:spacing w:line="252" w:lineRule="auto"/>
        <w:jc w:val="both"/>
        <w:rPr>
          <w:rFonts w:ascii="Garamond" w:hAnsi="Garamond"/>
        </w:rPr>
      </w:pPr>
      <w:r>
        <w:rPr>
          <w:rFonts w:ascii="Garamond" w:hAnsi="Garamond"/>
        </w:rPr>
        <w:t>Au demeurant, il est rappelé que, le 20 décembre 2022, les associations Notre Affaire À Tous, Oxfam France et Greenpeace France ont sollicité de la Première Ministre, du Ministre de la Transition écologique et de la Cohésion des territoires et de la Ministre de la Transition énergétique, sur le fondement des articles L. 124-1 et suivants du Code de l</w:t>
      </w:r>
      <w:r w:rsidR="00F86CA7">
        <w:rPr>
          <w:rFonts w:ascii="Garamond" w:hAnsi="Garamond"/>
        </w:rPr>
        <w:t>’</w:t>
      </w:r>
      <w:r>
        <w:rPr>
          <w:rFonts w:ascii="Garamond" w:hAnsi="Garamond"/>
        </w:rPr>
        <w:t>environnement, la communication de l</w:t>
      </w:r>
      <w:r w:rsidR="00F86CA7">
        <w:rPr>
          <w:rFonts w:ascii="Garamond" w:hAnsi="Garamond"/>
        </w:rPr>
        <w:t>’</w:t>
      </w:r>
      <w:r>
        <w:rPr>
          <w:rFonts w:ascii="Garamond" w:hAnsi="Garamond"/>
        </w:rPr>
        <w:t>ensemble des informations relatives aux mesures prises pour assurer l</w:t>
      </w:r>
      <w:r w:rsidR="00F86CA7">
        <w:rPr>
          <w:rFonts w:ascii="Garamond" w:hAnsi="Garamond"/>
        </w:rPr>
        <w:t>’</w:t>
      </w:r>
      <w:r>
        <w:rPr>
          <w:rFonts w:ascii="Garamond" w:hAnsi="Garamond"/>
        </w:rPr>
        <w:t xml:space="preserve">exécution du jugement rendu le 14 octobre 2021. </w:t>
      </w:r>
    </w:p>
    <w:p w14:paraId="477061C7" w14:textId="77777777" w:rsidR="004746BB" w:rsidRDefault="004746BB" w:rsidP="004746BB">
      <w:pPr>
        <w:spacing w:line="252" w:lineRule="auto"/>
        <w:jc w:val="both"/>
        <w:rPr>
          <w:rFonts w:ascii="Garamond" w:hAnsi="Garamond"/>
        </w:rPr>
      </w:pPr>
    </w:p>
    <w:p w14:paraId="3A80EB38" w14:textId="20B1878A" w:rsidR="004746BB" w:rsidRDefault="004746BB" w:rsidP="004746BB">
      <w:pPr>
        <w:spacing w:line="252" w:lineRule="auto"/>
        <w:jc w:val="both"/>
        <w:rPr>
          <w:rFonts w:ascii="Garamond" w:hAnsi="Garamond"/>
        </w:rPr>
      </w:pPr>
      <w:r>
        <w:rPr>
          <w:rFonts w:ascii="Garamond" w:hAnsi="Garamond"/>
        </w:rPr>
        <w:t>Or, en dépit d</w:t>
      </w:r>
      <w:r w:rsidR="00F86CA7">
        <w:rPr>
          <w:rFonts w:ascii="Garamond" w:hAnsi="Garamond"/>
        </w:rPr>
        <w:t>’</w:t>
      </w:r>
      <w:r>
        <w:rPr>
          <w:rFonts w:ascii="Garamond" w:hAnsi="Garamond"/>
        </w:rPr>
        <w:t>un avis favorable à la communication de ces informations, émis par la Commission d</w:t>
      </w:r>
      <w:r w:rsidR="00F86CA7">
        <w:rPr>
          <w:rFonts w:ascii="Garamond" w:hAnsi="Garamond"/>
        </w:rPr>
        <w:t>’</w:t>
      </w:r>
      <w:r>
        <w:rPr>
          <w:rFonts w:ascii="Garamond" w:hAnsi="Garamond"/>
        </w:rPr>
        <w:t xml:space="preserve">accès aux documents administratifs le 20 avril 2023, cette demande est restée sans réponse. </w:t>
      </w:r>
    </w:p>
    <w:p w14:paraId="750E3868" w14:textId="77777777" w:rsidR="004746BB" w:rsidRDefault="004746BB" w:rsidP="004746BB">
      <w:pPr>
        <w:spacing w:line="252" w:lineRule="auto"/>
        <w:jc w:val="both"/>
        <w:rPr>
          <w:rFonts w:ascii="Garamond" w:hAnsi="Garamond"/>
        </w:rPr>
      </w:pPr>
    </w:p>
    <w:p w14:paraId="6276CB64" w14:textId="7631B379" w:rsidR="004746BB" w:rsidRPr="00E25C9A" w:rsidRDefault="004746BB" w:rsidP="004746BB">
      <w:pPr>
        <w:spacing w:line="252" w:lineRule="auto"/>
        <w:jc w:val="both"/>
        <w:rPr>
          <w:rFonts w:ascii="Garamond" w:hAnsi="Garamond"/>
          <w:i/>
          <w:iCs/>
        </w:rPr>
      </w:pPr>
      <w:r>
        <w:rPr>
          <w:rFonts w:ascii="Garamond" w:hAnsi="Garamond"/>
        </w:rPr>
        <w:t>Ce qui n</w:t>
      </w:r>
      <w:r w:rsidR="00F86CA7">
        <w:rPr>
          <w:rFonts w:ascii="Garamond" w:hAnsi="Garamond"/>
        </w:rPr>
        <w:t>’</w:t>
      </w:r>
      <w:r>
        <w:rPr>
          <w:rFonts w:ascii="Garamond" w:hAnsi="Garamond"/>
        </w:rPr>
        <w:t>a pas permis aux associations requérantes de s</w:t>
      </w:r>
      <w:r w:rsidR="00F86CA7">
        <w:rPr>
          <w:rFonts w:ascii="Garamond" w:hAnsi="Garamond"/>
        </w:rPr>
        <w:t>’</w:t>
      </w:r>
      <w:r>
        <w:rPr>
          <w:rFonts w:ascii="Garamond" w:hAnsi="Garamond"/>
        </w:rPr>
        <w:t>assurer de l</w:t>
      </w:r>
      <w:r w:rsidR="00F86CA7">
        <w:rPr>
          <w:rFonts w:ascii="Garamond" w:hAnsi="Garamond"/>
        </w:rPr>
        <w:t>’</w:t>
      </w:r>
      <w:r>
        <w:rPr>
          <w:rFonts w:ascii="Garamond" w:hAnsi="Garamond"/>
        </w:rPr>
        <w:t xml:space="preserve">adoption, dans les </w:t>
      </w:r>
      <w:r w:rsidR="00A07440">
        <w:rPr>
          <w:rFonts w:ascii="Garamond" w:hAnsi="Garamond"/>
        </w:rPr>
        <w:t xml:space="preserve">délais </w:t>
      </w:r>
      <w:r>
        <w:rPr>
          <w:rFonts w:ascii="Garamond" w:hAnsi="Garamond"/>
        </w:rPr>
        <w:t>prescrits par le jugement du 14 octobre 2021, de mesures sectorielles concrètes, destinées à réparer le préjudice écologique lié au surplus d</w:t>
      </w:r>
      <w:r w:rsidR="00F86CA7">
        <w:rPr>
          <w:rFonts w:ascii="Garamond" w:hAnsi="Garamond"/>
        </w:rPr>
        <w:t>’</w:t>
      </w:r>
      <w:r>
        <w:rPr>
          <w:rFonts w:ascii="Garamond" w:hAnsi="Garamond"/>
        </w:rPr>
        <w:t xml:space="preserve">émissions résultant du dépassement du premier budget carbone, et prévenir son aggravation. </w:t>
      </w:r>
    </w:p>
    <w:p w14:paraId="461BE672" w14:textId="77777777" w:rsidR="004746BB" w:rsidRDefault="004746BB" w:rsidP="004746BB">
      <w:pPr>
        <w:spacing w:line="252" w:lineRule="auto"/>
        <w:jc w:val="both"/>
        <w:rPr>
          <w:rFonts w:ascii="Garamond" w:hAnsi="Garamond"/>
        </w:rPr>
      </w:pPr>
    </w:p>
    <w:p w14:paraId="37648845"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26CC8547" w14:textId="77777777" w:rsidR="004746BB" w:rsidRDefault="004746BB" w:rsidP="004746BB">
      <w:pPr>
        <w:tabs>
          <w:tab w:val="left" w:pos="6440"/>
        </w:tabs>
        <w:spacing w:line="252" w:lineRule="auto"/>
        <w:jc w:val="both"/>
        <w:rPr>
          <w:rFonts w:ascii="Garamond" w:hAnsi="Garamond"/>
          <w:color w:val="000000" w:themeColor="text1"/>
        </w:rPr>
      </w:pPr>
    </w:p>
    <w:p w14:paraId="46952468" w14:textId="7714C977" w:rsidR="004746BB" w:rsidRDefault="004746BB" w:rsidP="004746BB">
      <w:pPr>
        <w:jc w:val="both"/>
        <w:rPr>
          <w:rFonts w:ascii="Garamond" w:hAnsi="Garamond"/>
          <w:color w:val="000000" w:themeColor="text1"/>
        </w:rPr>
      </w:pPr>
      <w:r w:rsidRPr="004746BB">
        <w:rPr>
          <w:rFonts w:ascii="Garamond" w:hAnsi="Garamond"/>
        </w:rPr>
        <w:t xml:space="preserve">(iii) Enfin, et tout état de cause, </w:t>
      </w:r>
      <w:r>
        <w:rPr>
          <w:rFonts w:ascii="Garamond" w:hAnsi="Garamond"/>
        </w:rPr>
        <w:t>le Conseil d</w:t>
      </w:r>
      <w:r w:rsidR="00F86CA7">
        <w:rPr>
          <w:rFonts w:ascii="Garamond" w:hAnsi="Garamond"/>
        </w:rPr>
        <w:t>’</w:t>
      </w:r>
      <w:r>
        <w:rPr>
          <w:rFonts w:ascii="Garamond" w:hAnsi="Garamond"/>
        </w:rPr>
        <w:t xml:space="preserve">État a jugé, dans sa décision du 10 mai 2023, </w:t>
      </w:r>
      <w:r w:rsidR="00A76C93" w:rsidRPr="00A76C93">
        <w:rPr>
          <w:rFonts w:ascii="Garamond" w:hAnsi="Garamond"/>
          <w:color w:val="000000" w:themeColor="text1"/>
        </w:rPr>
        <w:t xml:space="preserve">que les mesures adoptées par le Gouvernement </w:t>
      </w:r>
      <w:r>
        <w:rPr>
          <w:rFonts w:ascii="Garamond" w:hAnsi="Garamond"/>
          <w:color w:val="000000" w:themeColor="text1"/>
        </w:rPr>
        <w:t>n</w:t>
      </w:r>
      <w:r w:rsidR="00F86CA7">
        <w:rPr>
          <w:rFonts w:ascii="Garamond" w:hAnsi="Garamond"/>
          <w:color w:val="000000" w:themeColor="text1"/>
        </w:rPr>
        <w:t>’</w:t>
      </w:r>
      <w:r>
        <w:rPr>
          <w:rFonts w:ascii="Garamond" w:hAnsi="Garamond"/>
          <w:color w:val="000000" w:themeColor="text1"/>
        </w:rPr>
        <w:t>étaient</w:t>
      </w:r>
      <w:r w:rsidR="00A76C93" w:rsidRPr="00A76C93">
        <w:rPr>
          <w:rFonts w:ascii="Garamond" w:hAnsi="Garamond"/>
          <w:color w:val="000000" w:themeColor="text1"/>
        </w:rPr>
        <w:t xml:space="preserve"> pas suffisantes</w:t>
      </w:r>
      <w:r>
        <w:rPr>
          <w:rFonts w:ascii="Garamond" w:hAnsi="Garamond"/>
          <w:color w:val="000000" w:themeColor="text1"/>
        </w:rPr>
        <w:t>, à date,</w:t>
      </w:r>
      <w:r w:rsidR="00A76C93" w:rsidRPr="00A76C93">
        <w:rPr>
          <w:rFonts w:ascii="Garamond" w:hAnsi="Garamond"/>
          <w:color w:val="000000" w:themeColor="text1"/>
        </w:rPr>
        <w:t xml:space="preserve"> pour </w:t>
      </w:r>
      <w:r>
        <w:rPr>
          <w:rFonts w:ascii="Garamond" w:hAnsi="Garamond"/>
          <w:color w:val="000000" w:themeColor="text1"/>
        </w:rPr>
        <w:t>s</w:t>
      </w:r>
      <w:r w:rsidR="00F86CA7">
        <w:rPr>
          <w:rFonts w:ascii="Garamond" w:hAnsi="Garamond"/>
          <w:color w:val="000000" w:themeColor="text1"/>
        </w:rPr>
        <w:t>’</w:t>
      </w:r>
      <w:r w:rsidR="00A76C93" w:rsidRPr="00A76C93">
        <w:rPr>
          <w:rFonts w:ascii="Garamond" w:hAnsi="Garamond"/>
          <w:color w:val="000000" w:themeColor="text1"/>
        </w:rPr>
        <w:t xml:space="preserve">assurer </w:t>
      </w:r>
      <w:r>
        <w:rPr>
          <w:rFonts w:ascii="Garamond" w:hAnsi="Garamond"/>
          <w:color w:val="000000" w:themeColor="text1"/>
        </w:rPr>
        <w:t>du</w:t>
      </w:r>
      <w:r w:rsidR="00A76C93" w:rsidRPr="00A76C93">
        <w:rPr>
          <w:rFonts w:ascii="Garamond" w:hAnsi="Garamond"/>
          <w:color w:val="000000" w:themeColor="text1"/>
        </w:rPr>
        <w:t xml:space="preserve"> respect </w:t>
      </w:r>
      <w:r>
        <w:rPr>
          <w:rFonts w:ascii="Garamond" w:hAnsi="Garamond"/>
          <w:color w:val="000000" w:themeColor="text1"/>
        </w:rPr>
        <w:lastRenderedPageBreak/>
        <w:t xml:space="preserve">de </w:t>
      </w:r>
      <w:r w:rsidRPr="004746BB">
        <w:rPr>
          <w:rFonts w:ascii="Garamond" w:hAnsi="Garamond"/>
          <w:color w:val="000000" w:themeColor="text1"/>
        </w:rPr>
        <w:t>la trajectoire de réduction de</w:t>
      </w:r>
      <w:r>
        <w:rPr>
          <w:rFonts w:ascii="Garamond" w:hAnsi="Garamond"/>
          <w:color w:val="000000" w:themeColor="text1"/>
        </w:rPr>
        <w:t>s émissions de gaz à effet de serre, en vue d</w:t>
      </w:r>
      <w:r w:rsidR="00F86CA7">
        <w:rPr>
          <w:rFonts w:ascii="Garamond" w:hAnsi="Garamond"/>
          <w:color w:val="000000" w:themeColor="text1"/>
        </w:rPr>
        <w:t>’</w:t>
      </w:r>
      <w:r>
        <w:rPr>
          <w:rFonts w:ascii="Garamond" w:hAnsi="Garamond"/>
          <w:color w:val="000000" w:themeColor="text1"/>
        </w:rPr>
        <w:t xml:space="preserve">atteindre les objectifs fixés pour 2030. </w:t>
      </w:r>
    </w:p>
    <w:p w14:paraId="0E474BF5" w14:textId="77777777" w:rsidR="004746BB" w:rsidRDefault="004746BB" w:rsidP="004746BB">
      <w:pPr>
        <w:jc w:val="both"/>
        <w:rPr>
          <w:rFonts w:ascii="Garamond" w:hAnsi="Garamond"/>
          <w:color w:val="000000" w:themeColor="text1"/>
        </w:rPr>
      </w:pPr>
    </w:p>
    <w:p w14:paraId="2A5BC3D7" w14:textId="590A1609" w:rsidR="004746BB"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Dès lors, il serait pour le moins paradoxal de </w:t>
      </w:r>
      <w:r w:rsidR="004746BB">
        <w:rPr>
          <w:rFonts w:ascii="Garamond" w:hAnsi="Garamond"/>
          <w:color w:val="000000" w:themeColor="text1"/>
        </w:rPr>
        <w:t>considérer</w:t>
      </w:r>
      <w:r w:rsidRPr="00A76C93">
        <w:rPr>
          <w:rFonts w:ascii="Garamond" w:hAnsi="Garamond"/>
          <w:color w:val="000000" w:themeColor="text1"/>
        </w:rPr>
        <w:t xml:space="preserve"> que ces mêmes mesures</w:t>
      </w:r>
      <w:r w:rsidR="004746BB">
        <w:rPr>
          <w:rFonts w:ascii="Garamond" w:hAnsi="Garamond"/>
          <w:color w:val="000000" w:themeColor="text1"/>
        </w:rPr>
        <w:t xml:space="preserve">, pourtant insuffisantes pour </w:t>
      </w:r>
      <w:r w:rsidRPr="00A76C93">
        <w:rPr>
          <w:rFonts w:ascii="Garamond" w:hAnsi="Garamond"/>
          <w:color w:val="000000" w:themeColor="text1"/>
        </w:rPr>
        <w:t>permettre de garantir la tenue des budgets carbone à venir, p</w:t>
      </w:r>
      <w:r w:rsidR="004746BB">
        <w:rPr>
          <w:rFonts w:ascii="Garamond" w:hAnsi="Garamond"/>
          <w:color w:val="000000" w:themeColor="text1"/>
        </w:rPr>
        <w:t xml:space="preserve">ourraient néanmoins </w:t>
      </w:r>
      <w:r w:rsidRPr="00A76C93">
        <w:rPr>
          <w:rFonts w:ascii="Garamond" w:hAnsi="Garamond"/>
          <w:color w:val="000000" w:themeColor="text1"/>
        </w:rPr>
        <w:t>suffire à compenser un reliquat d</w:t>
      </w:r>
      <w:r w:rsidR="00F86CA7">
        <w:rPr>
          <w:rFonts w:ascii="Garamond" w:hAnsi="Garamond"/>
          <w:color w:val="000000" w:themeColor="text1"/>
        </w:rPr>
        <w:t>’</w:t>
      </w:r>
      <w:r w:rsidRPr="00A76C93">
        <w:rPr>
          <w:rFonts w:ascii="Garamond" w:hAnsi="Garamond"/>
          <w:color w:val="000000" w:themeColor="text1"/>
        </w:rPr>
        <w:t>émission</w:t>
      </w:r>
      <w:r w:rsidR="004746BB">
        <w:rPr>
          <w:rFonts w:ascii="Garamond" w:hAnsi="Garamond"/>
          <w:color w:val="000000" w:themeColor="text1"/>
        </w:rPr>
        <w:t>s</w:t>
      </w:r>
      <w:r w:rsidRPr="00A76C93">
        <w:rPr>
          <w:rFonts w:ascii="Garamond" w:hAnsi="Garamond"/>
          <w:color w:val="000000" w:themeColor="text1"/>
        </w:rPr>
        <w:t xml:space="preserve"> hérité du premier budget carbone. </w:t>
      </w:r>
    </w:p>
    <w:p w14:paraId="26369ED3" w14:textId="77777777" w:rsidR="004746BB" w:rsidRDefault="004746BB" w:rsidP="00A76C93">
      <w:pPr>
        <w:tabs>
          <w:tab w:val="left" w:pos="6440"/>
        </w:tabs>
        <w:spacing w:line="252" w:lineRule="auto"/>
        <w:jc w:val="both"/>
        <w:rPr>
          <w:rFonts w:ascii="Garamond" w:hAnsi="Garamond"/>
          <w:color w:val="000000" w:themeColor="text1"/>
        </w:rPr>
      </w:pPr>
    </w:p>
    <w:p w14:paraId="606302A8" w14:textId="0A2ABF85"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En effet, en affirmant l</w:t>
      </w:r>
      <w:r w:rsidR="00F86CA7">
        <w:rPr>
          <w:rFonts w:ascii="Garamond" w:hAnsi="Garamond"/>
          <w:color w:val="000000" w:themeColor="text1"/>
        </w:rPr>
        <w:t>’</w:t>
      </w:r>
      <w:r w:rsidRPr="00A76C93">
        <w:rPr>
          <w:rFonts w:ascii="Garamond" w:hAnsi="Garamond"/>
          <w:color w:val="000000" w:themeColor="text1"/>
        </w:rPr>
        <w:t>insuffisance de ces mesures pour l</w:t>
      </w:r>
      <w:r w:rsidR="00F86CA7">
        <w:rPr>
          <w:rFonts w:ascii="Garamond" w:hAnsi="Garamond"/>
          <w:color w:val="000000" w:themeColor="text1"/>
        </w:rPr>
        <w:t>’</w:t>
      </w:r>
      <w:r w:rsidRPr="00A76C93">
        <w:rPr>
          <w:rFonts w:ascii="Garamond" w:hAnsi="Garamond"/>
          <w:color w:val="000000" w:themeColor="text1"/>
        </w:rPr>
        <w:t>avenir, le Conseil d</w:t>
      </w:r>
      <w:r w:rsidR="00F86CA7">
        <w:rPr>
          <w:rFonts w:ascii="Garamond" w:hAnsi="Garamond"/>
          <w:color w:val="000000" w:themeColor="text1"/>
        </w:rPr>
        <w:t>’</w:t>
      </w:r>
      <w:r w:rsidRPr="00A76C93">
        <w:rPr>
          <w:rFonts w:ascii="Garamond" w:hAnsi="Garamond"/>
          <w:color w:val="000000" w:themeColor="text1"/>
        </w:rPr>
        <w:t>État a nécessairement</w:t>
      </w:r>
      <w:r w:rsidR="004746BB">
        <w:rPr>
          <w:rFonts w:ascii="Garamond" w:hAnsi="Garamond"/>
          <w:color w:val="000000" w:themeColor="text1"/>
        </w:rPr>
        <w:t xml:space="preserve">, mais </w:t>
      </w:r>
      <w:r w:rsidR="004746BB" w:rsidRPr="00A76C93">
        <w:rPr>
          <w:rFonts w:ascii="Garamond" w:hAnsi="Garamond"/>
          <w:color w:val="000000" w:themeColor="text1"/>
        </w:rPr>
        <w:t>implicitement</w:t>
      </w:r>
      <w:r w:rsidR="004746BB">
        <w:rPr>
          <w:rFonts w:ascii="Garamond" w:hAnsi="Garamond"/>
          <w:color w:val="000000" w:themeColor="text1"/>
        </w:rPr>
        <w:t>,</w:t>
      </w:r>
      <w:r w:rsidRPr="00A76C93">
        <w:rPr>
          <w:rFonts w:ascii="Garamond" w:hAnsi="Garamond"/>
          <w:color w:val="000000" w:themeColor="text1"/>
        </w:rPr>
        <w:t xml:space="preserve"> reconnu cette même insuffisance pour le passé. </w:t>
      </w:r>
    </w:p>
    <w:p w14:paraId="5EF787E0" w14:textId="77777777" w:rsidR="004746BB" w:rsidRDefault="004746BB" w:rsidP="004746BB">
      <w:pPr>
        <w:spacing w:line="252" w:lineRule="auto"/>
        <w:jc w:val="both"/>
        <w:rPr>
          <w:rFonts w:ascii="Garamond" w:hAnsi="Garamond"/>
        </w:rPr>
      </w:pPr>
    </w:p>
    <w:p w14:paraId="59247CBB"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67D20266" w14:textId="77777777" w:rsidR="004746BB" w:rsidRDefault="004746BB" w:rsidP="004746BB">
      <w:pPr>
        <w:tabs>
          <w:tab w:val="left" w:pos="6440"/>
        </w:tabs>
        <w:spacing w:line="252" w:lineRule="auto"/>
        <w:jc w:val="both"/>
        <w:rPr>
          <w:rFonts w:ascii="Garamond" w:hAnsi="Garamond"/>
          <w:color w:val="000000" w:themeColor="text1"/>
        </w:rPr>
      </w:pPr>
    </w:p>
    <w:p w14:paraId="5169C225" w14:textId="38240293" w:rsid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Du reste</w:t>
      </w:r>
      <w:r w:rsidR="00A76C93" w:rsidRPr="00A76C93">
        <w:rPr>
          <w:rFonts w:ascii="Garamond" w:hAnsi="Garamond"/>
          <w:color w:val="000000" w:themeColor="text1"/>
        </w:rPr>
        <w:t xml:space="preserve">, </w:t>
      </w:r>
      <w:r>
        <w:rPr>
          <w:rFonts w:ascii="Garamond" w:hAnsi="Garamond"/>
          <w:color w:val="000000" w:themeColor="text1"/>
        </w:rPr>
        <w:t>la décision du Conseil d</w:t>
      </w:r>
      <w:r w:rsidR="00F86CA7">
        <w:rPr>
          <w:rFonts w:ascii="Garamond" w:hAnsi="Garamond"/>
          <w:color w:val="000000" w:themeColor="text1"/>
        </w:rPr>
        <w:t>’</w:t>
      </w:r>
      <w:r>
        <w:rPr>
          <w:rFonts w:ascii="Garamond" w:hAnsi="Garamond"/>
          <w:color w:val="000000" w:themeColor="text1"/>
        </w:rPr>
        <w:t xml:space="preserve">État permet également de mettre en évidence </w:t>
      </w:r>
      <w:r w:rsidR="00A76C93" w:rsidRPr="00A76C93">
        <w:rPr>
          <w:rFonts w:ascii="Garamond" w:hAnsi="Garamond"/>
          <w:color w:val="000000" w:themeColor="text1"/>
        </w:rPr>
        <w:t>un risque sérieux d</w:t>
      </w:r>
      <w:r w:rsidR="00F86CA7">
        <w:rPr>
          <w:rFonts w:ascii="Garamond" w:hAnsi="Garamond"/>
          <w:color w:val="000000" w:themeColor="text1"/>
        </w:rPr>
        <w:t>’</w:t>
      </w:r>
      <w:r w:rsidR="00A76C93" w:rsidRPr="00A76C93">
        <w:rPr>
          <w:rFonts w:ascii="Garamond" w:hAnsi="Garamond"/>
          <w:color w:val="000000" w:themeColor="text1"/>
        </w:rPr>
        <w:t xml:space="preserve">aggravation du préjudice écologique constaté par </w:t>
      </w:r>
      <w:r>
        <w:rPr>
          <w:rFonts w:ascii="Garamond" w:hAnsi="Garamond"/>
          <w:color w:val="000000" w:themeColor="text1"/>
        </w:rPr>
        <w:t xml:space="preserve">le Tribunal administratif de Paris, du fait de </w:t>
      </w:r>
      <w:r w:rsidR="00A76C93" w:rsidRPr="00A76C93">
        <w:rPr>
          <w:rFonts w:ascii="Garamond" w:hAnsi="Garamond"/>
          <w:color w:val="000000" w:themeColor="text1"/>
        </w:rPr>
        <w:t>l</w:t>
      </w:r>
      <w:r w:rsidR="00F86CA7">
        <w:rPr>
          <w:rFonts w:ascii="Garamond" w:hAnsi="Garamond"/>
          <w:color w:val="000000" w:themeColor="text1"/>
        </w:rPr>
        <w:t>’</w:t>
      </w:r>
      <w:r w:rsidR="00A76C93" w:rsidRPr="00A76C93">
        <w:rPr>
          <w:rFonts w:ascii="Garamond" w:hAnsi="Garamond"/>
          <w:color w:val="000000" w:themeColor="text1"/>
        </w:rPr>
        <w:t>insuffisance des mesures adoptées pour atteindre</w:t>
      </w:r>
      <w:r>
        <w:rPr>
          <w:rFonts w:ascii="Garamond" w:hAnsi="Garamond"/>
          <w:color w:val="000000" w:themeColor="text1"/>
        </w:rPr>
        <w:t xml:space="preserve"> </w:t>
      </w:r>
      <w:r w:rsidR="00A76C93" w:rsidRPr="00A76C93">
        <w:rPr>
          <w:rFonts w:ascii="Garamond" w:hAnsi="Garamond"/>
          <w:color w:val="000000" w:themeColor="text1"/>
        </w:rPr>
        <w:t xml:space="preserve">les objectifs de réduction plus ambitieux </w:t>
      </w:r>
      <w:r>
        <w:rPr>
          <w:rFonts w:ascii="Garamond" w:hAnsi="Garamond"/>
          <w:color w:val="000000" w:themeColor="text1"/>
        </w:rPr>
        <w:t xml:space="preserve">qui seront assignés, dès 2024, </w:t>
      </w:r>
      <w:r w:rsidR="00A76C93" w:rsidRPr="00A76C93">
        <w:rPr>
          <w:rFonts w:ascii="Garamond" w:hAnsi="Garamond"/>
          <w:color w:val="000000" w:themeColor="text1"/>
        </w:rPr>
        <w:t>à l</w:t>
      </w:r>
      <w:r w:rsidR="00F86CA7">
        <w:rPr>
          <w:rFonts w:ascii="Garamond" w:hAnsi="Garamond"/>
          <w:color w:val="000000" w:themeColor="text1"/>
        </w:rPr>
        <w:t>’</w:t>
      </w:r>
      <w:r w:rsidR="00A76C93" w:rsidRPr="00A76C93">
        <w:rPr>
          <w:rFonts w:ascii="Garamond" w:hAnsi="Garamond"/>
          <w:color w:val="000000" w:themeColor="text1"/>
        </w:rPr>
        <w:t>action de l</w:t>
      </w:r>
      <w:r w:rsidR="00F86CA7">
        <w:rPr>
          <w:rFonts w:ascii="Garamond" w:hAnsi="Garamond"/>
          <w:color w:val="000000" w:themeColor="text1"/>
        </w:rPr>
        <w:t>’</w:t>
      </w:r>
      <w:r w:rsidR="00A76C93" w:rsidRPr="00A76C93">
        <w:rPr>
          <w:rFonts w:ascii="Garamond" w:hAnsi="Garamond"/>
          <w:color w:val="000000" w:themeColor="text1"/>
        </w:rPr>
        <w:t xml:space="preserve">État. </w:t>
      </w:r>
    </w:p>
    <w:p w14:paraId="29838466" w14:textId="77777777" w:rsidR="004746BB" w:rsidRPr="00A76C93" w:rsidRDefault="004746BB" w:rsidP="00A76C93">
      <w:pPr>
        <w:tabs>
          <w:tab w:val="left" w:pos="6440"/>
        </w:tabs>
        <w:spacing w:line="252" w:lineRule="auto"/>
        <w:jc w:val="both"/>
        <w:rPr>
          <w:rFonts w:ascii="Garamond" w:hAnsi="Garamond"/>
          <w:color w:val="000000" w:themeColor="text1"/>
        </w:rPr>
      </w:pPr>
    </w:p>
    <w:p w14:paraId="3B5549AD" w14:textId="75CA4142" w:rsidR="004746BB"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En effet, alors que le rythme de réduction des émissions de gaz à effet de serre constaté sur le premier budget carbone se porte à -2,1 % par an selon le CITEPA, </w:t>
      </w:r>
      <w:r w:rsidR="004746BB">
        <w:rPr>
          <w:rFonts w:ascii="Garamond" w:hAnsi="Garamond"/>
          <w:color w:val="000000" w:themeColor="text1"/>
        </w:rPr>
        <w:t>il devrait atteindre</w:t>
      </w:r>
      <w:r w:rsidRPr="00A76C93">
        <w:rPr>
          <w:rFonts w:ascii="Garamond" w:hAnsi="Garamond"/>
          <w:color w:val="000000" w:themeColor="text1"/>
        </w:rPr>
        <w:t xml:space="preserve"> -3,2 %</w:t>
      </w:r>
      <w:r w:rsidR="004746BB">
        <w:rPr>
          <w:rFonts w:ascii="Garamond" w:hAnsi="Garamond"/>
          <w:color w:val="000000" w:themeColor="text1"/>
        </w:rPr>
        <w:t xml:space="preserve"> par an </w:t>
      </w:r>
      <w:r w:rsidR="004746BB" w:rsidRPr="00A76C93">
        <w:rPr>
          <w:rFonts w:ascii="Garamond" w:hAnsi="Garamond"/>
          <w:color w:val="000000" w:themeColor="text1"/>
        </w:rPr>
        <w:t>pour les troisième et quatrième budgets carbone</w:t>
      </w:r>
      <w:r w:rsidR="004746BB">
        <w:rPr>
          <w:rFonts w:ascii="Garamond" w:hAnsi="Garamond"/>
          <w:color w:val="000000" w:themeColor="text1"/>
        </w:rPr>
        <w:t xml:space="preserve"> – </w:t>
      </w:r>
      <w:r w:rsidRPr="00A76C93">
        <w:rPr>
          <w:rFonts w:ascii="Garamond" w:hAnsi="Garamond"/>
          <w:color w:val="000000" w:themeColor="text1"/>
        </w:rPr>
        <w:t xml:space="preserve">sans </w:t>
      </w:r>
      <w:r w:rsidR="004746BB">
        <w:rPr>
          <w:rFonts w:ascii="Garamond" w:hAnsi="Garamond"/>
          <w:color w:val="000000" w:themeColor="text1"/>
        </w:rPr>
        <w:t xml:space="preserve">même </w:t>
      </w:r>
      <w:r w:rsidRPr="00A76C93">
        <w:rPr>
          <w:rFonts w:ascii="Garamond" w:hAnsi="Garamond"/>
          <w:color w:val="000000" w:themeColor="text1"/>
        </w:rPr>
        <w:t>prendre en compte le rehaussement de l</w:t>
      </w:r>
      <w:r w:rsidR="00F86CA7">
        <w:rPr>
          <w:rFonts w:ascii="Garamond" w:hAnsi="Garamond"/>
          <w:color w:val="000000" w:themeColor="text1"/>
        </w:rPr>
        <w:t>’</w:t>
      </w:r>
      <w:r w:rsidRPr="00A76C93">
        <w:rPr>
          <w:rFonts w:ascii="Garamond" w:hAnsi="Garamond"/>
          <w:color w:val="000000" w:themeColor="text1"/>
        </w:rPr>
        <w:t>objectif de réduction des émissions adopté à l</w:t>
      </w:r>
      <w:r w:rsidR="00F86CA7">
        <w:rPr>
          <w:rFonts w:ascii="Garamond" w:hAnsi="Garamond"/>
          <w:color w:val="000000" w:themeColor="text1"/>
        </w:rPr>
        <w:t>’</w:t>
      </w:r>
      <w:r w:rsidRPr="00A76C93">
        <w:rPr>
          <w:rFonts w:ascii="Garamond" w:hAnsi="Garamond"/>
          <w:color w:val="000000" w:themeColor="text1"/>
        </w:rPr>
        <w:t>échelle de l</w:t>
      </w:r>
      <w:r w:rsidR="00F86CA7">
        <w:rPr>
          <w:rFonts w:ascii="Garamond" w:hAnsi="Garamond"/>
          <w:color w:val="000000" w:themeColor="text1"/>
        </w:rPr>
        <w:t>’</w:t>
      </w:r>
      <w:r w:rsidRPr="00A76C93">
        <w:rPr>
          <w:rFonts w:ascii="Garamond" w:hAnsi="Garamond"/>
          <w:color w:val="000000" w:themeColor="text1"/>
        </w:rPr>
        <w:t xml:space="preserve">Union européenne. </w:t>
      </w:r>
    </w:p>
    <w:p w14:paraId="3B296B61" w14:textId="77777777" w:rsidR="004746BB" w:rsidRDefault="004746BB" w:rsidP="00A76C93">
      <w:pPr>
        <w:tabs>
          <w:tab w:val="left" w:pos="6440"/>
        </w:tabs>
        <w:spacing w:line="252" w:lineRule="auto"/>
        <w:jc w:val="both"/>
        <w:rPr>
          <w:rFonts w:ascii="Garamond" w:hAnsi="Garamond"/>
          <w:color w:val="000000" w:themeColor="text1"/>
        </w:rPr>
      </w:pPr>
    </w:p>
    <w:p w14:paraId="6149DA7C" w14:textId="733DD6EF" w:rsidR="00A76C93" w:rsidRP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Surtout, en prenant en compte ce nouvel objectif,</w:t>
      </w:r>
      <w:r w:rsidR="00A76C93" w:rsidRPr="00A76C93">
        <w:rPr>
          <w:rFonts w:ascii="Garamond" w:hAnsi="Garamond"/>
          <w:color w:val="000000" w:themeColor="text1"/>
        </w:rPr>
        <w:t xml:space="preserve"> le gouvernement a récemment estimé devant le Conseil National de la Transition Énergétique que le rythme de réduction nécessaire devra</w:t>
      </w:r>
      <w:r>
        <w:rPr>
          <w:rFonts w:ascii="Garamond" w:hAnsi="Garamond"/>
          <w:color w:val="000000" w:themeColor="text1"/>
        </w:rPr>
        <w:t>it</w:t>
      </w:r>
      <w:r w:rsidR="00A76C93" w:rsidRPr="00A76C93">
        <w:rPr>
          <w:rFonts w:ascii="Garamond" w:hAnsi="Garamond"/>
          <w:color w:val="000000" w:themeColor="text1"/>
        </w:rPr>
        <w:t xml:space="preserve"> s</w:t>
      </w:r>
      <w:r w:rsidR="00F86CA7">
        <w:rPr>
          <w:rFonts w:ascii="Garamond" w:hAnsi="Garamond"/>
          <w:color w:val="000000" w:themeColor="text1"/>
        </w:rPr>
        <w:t>’</w:t>
      </w:r>
      <w:r w:rsidR="00A76C93" w:rsidRPr="00A76C93">
        <w:rPr>
          <w:rFonts w:ascii="Garamond" w:hAnsi="Garamond"/>
          <w:color w:val="000000" w:themeColor="text1"/>
        </w:rPr>
        <w:t xml:space="preserve">établir à </w:t>
      </w:r>
      <w:r w:rsidRPr="004746BB">
        <w:rPr>
          <w:rFonts w:ascii="Garamond" w:hAnsi="Garamond"/>
          <w:color w:val="000000" w:themeColor="text1"/>
        </w:rPr>
        <w:t>-</w:t>
      </w:r>
      <w:r w:rsidR="00A76C93" w:rsidRPr="00A76C93">
        <w:rPr>
          <w:rFonts w:ascii="Garamond" w:hAnsi="Garamond"/>
          <w:color w:val="000000" w:themeColor="text1"/>
        </w:rPr>
        <w:t>4,1%</w:t>
      </w:r>
      <w:r w:rsidRPr="004746BB">
        <w:rPr>
          <w:rFonts w:ascii="Garamond" w:hAnsi="Garamond"/>
          <w:color w:val="000000" w:themeColor="text1"/>
        </w:rPr>
        <w:t xml:space="preserve"> par </w:t>
      </w:r>
      <w:r w:rsidR="00A76C93" w:rsidRPr="00A76C93">
        <w:rPr>
          <w:rFonts w:ascii="Garamond" w:hAnsi="Garamond"/>
          <w:color w:val="000000" w:themeColor="text1"/>
        </w:rPr>
        <w:t xml:space="preserve">an </w:t>
      </w:r>
      <w:r w:rsidRPr="004746BB">
        <w:rPr>
          <w:rFonts w:ascii="Garamond" w:hAnsi="Garamond"/>
          <w:color w:val="000000" w:themeColor="text1"/>
        </w:rPr>
        <w:t xml:space="preserve">– </w:t>
      </w:r>
      <w:r w:rsidR="00A76C93" w:rsidRPr="00A76C93">
        <w:rPr>
          <w:rFonts w:ascii="Garamond" w:hAnsi="Garamond"/>
          <w:color w:val="000000" w:themeColor="text1"/>
        </w:rPr>
        <w:t>soit -16,7 MtCO</w:t>
      </w:r>
      <w:r w:rsidR="00A76C93" w:rsidRPr="00A76C93">
        <w:rPr>
          <w:rFonts w:ascii="Garamond" w:hAnsi="Garamond"/>
          <w:color w:val="000000" w:themeColor="text1"/>
          <w:vertAlign w:val="subscript"/>
        </w:rPr>
        <w:t>2</w:t>
      </w:r>
      <w:r w:rsidRPr="004746BB">
        <w:rPr>
          <w:rFonts w:ascii="Garamond" w:hAnsi="Garamond"/>
          <w:color w:val="000000" w:themeColor="text1"/>
        </w:rPr>
        <w:t xml:space="preserve">eq par </w:t>
      </w:r>
      <w:r w:rsidR="00A76C93" w:rsidRPr="00A76C93">
        <w:rPr>
          <w:rFonts w:ascii="Garamond" w:hAnsi="Garamond"/>
          <w:color w:val="000000" w:themeColor="text1"/>
        </w:rPr>
        <w:t>an</w:t>
      </w:r>
      <w:r w:rsidRPr="004746BB">
        <w:rPr>
          <w:rFonts w:ascii="Garamond" w:hAnsi="Garamond"/>
          <w:color w:val="000000" w:themeColor="text1"/>
        </w:rPr>
        <w:t xml:space="preserve"> – </w:t>
      </w:r>
      <w:r w:rsidR="00A76C93" w:rsidRPr="00A76C93">
        <w:rPr>
          <w:rFonts w:ascii="Garamond" w:hAnsi="Garamond"/>
          <w:color w:val="000000" w:themeColor="text1"/>
        </w:rPr>
        <w:t>entre 2022 et 2030</w:t>
      </w:r>
      <w:r>
        <w:rPr>
          <w:rFonts w:ascii="Garamond" w:hAnsi="Garamond"/>
          <w:color w:val="000000" w:themeColor="text1"/>
        </w:rPr>
        <w:t>, c</w:t>
      </w:r>
      <w:r w:rsidR="00F86CA7">
        <w:rPr>
          <w:rFonts w:ascii="Garamond" w:hAnsi="Garamond"/>
          <w:color w:val="000000" w:themeColor="text1"/>
        </w:rPr>
        <w:t>’</w:t>
      </w:r>
      <w:r>
        <w:rPr>
          <w:rFonts w:ascii="Garamond" w:hAnsi="Garamond"/>
          <w:color w:val="000000" w:themeColor="text1"/>
        </w:rPr>
        <w:t xml:space="preserve">est-à-dire le </w:t>
      </w:r>
      <w:r w:rsidR="00A76C93" w:rsidRPr="00A76C93">
        <w:rPr>
          <w:rFonts w:ascii="Garamond" w:hAnsi="Garamond"/>
          <w:color w:val="000000" w:themeColor="text1"/>
        </w:rPr>
        <w:t xml:space="preserve">double </w:t>
      </w:r>
      <w:r>
        <w:rPr>
          <w:rFonts w:ascii="Garamond" w:hAnsi="Garamond"/>
          <w:color w:val="000000" w:themeColor="text1"/>
        </w:rPr>
        <w:t>du rythme de</w:t>
      </w:r>
      <w:r w:rsidR="00A76C93" w:rsidRPr="00A76C93">
        <w:rPr>
          <w:rFonts w:ascii="Garamond" w:hAnsi="Garamond"/>
          <w:color w:val="000000" w:themeColor="text1"/>
        </w:rPr>
        <w:t xml:space="preserve"> réduction observé sur la période 2019-2022.</w:t>
      </w:r>
    </w:p>
    <w:p w14:paraId="694FA71A" w14:textId="77777777" w:rsidR="00A76C93" w:rsidRP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fldChar w:fldCharType="begin"/>
      </w:r>
      <w:r w:rsidRPr="00A76C93">
        <w:rPr>
          <w:rFonts w:ascii="Garamond" w:hAnsi="Garamond"/>
          <w:color w:val="000000" w:themeColor="text1"/>
        </w:rPr>
        <w:instrText xml:space="preserve"> INCLUDEPICTURE "/Users/fleurymarine/Library/Group Containers/UBF8T346G9.ms/WebArchiveCopyPasteTempFiles/com.microsoft.Word/Citepa_Secten2023_donnees_graph2.png" \* MERGEFORMATINET </w:instrText>
      </w:r>
      <w:r w:rsidRPr="00A76C93">
        <w:rPr>
          <w:rFonts w:ascii="Garamond" w:hAnsi="Garamond"/>
          <w:color w:val="000000" w:themeColor="text1"/>
        </w:rPr>
        <w:fldChar w:fldCharType="separate"/>
      </w:r>
      <w:r w:rsidRPr="00A76C93">
        <w:rPr>
          <w:rFonts w:ascii="Garamond" w:hAnsi="Garamond"/>
          <w:noProof/>
          <w:color w:val="000000" w:themeColor="text1"/>
        </w:rPr>
        <w:drawing>
          <wp:inline distT="0" distB="0" distL="0" distR="0" wp14:anchorId="31809CD0" wp14:editId="7FF2582D">
            <wp:extent cx="5760720" cy="2588895"/>
            <wp:effectExtent l="12700" t="12700" r="17780" b="14605"/>
            <wp:docPr id="129611261" name="Image 42" descr="Une image contenant texte, capture d’écran, lign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1261" name="Image 42" descr="Une image contenant texte, capture d’écran, ligne, Polic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88895"/>
                    </a:xfrm>
                    <a:prstGeom prst="rect">
                      <a:avLst/>
                    </a:prstGeom>
                    <a:noFill/>
                    <a:ln>
                      <a:solidFill>
                        <a:schemeClr val="tx1"/>
                      </a:solidFill>
                    </a:ln>
                  </pic:spPr>
                </pic:pic>
              </a:graphicData>
            </a:graphic>
          </wp:inline>
        </w:drawing>
      </w:r>
      <w:r w:rsidRPr="00A76C93">
        <w:rPr>
          <w:rFonts w:ascii="Garamond" w:hAnsi="Garamond"/>
          <w:color w:val="000000" w:themeColor="text1"/>
        </w:rPr>
        <w:fldChar w:fldCharType="end"/>
      </w:r>
    </w:p>
    <w:p w14:paraId="2FCA8B67" w14:textId="4914D565" w:rsidR="00A76C93" w:rsidRPr="00A76C93" w:rsidRDefault="00A76C93" w:rsidP="004746BB">
      <w:pPr>
        <w:tabs>
          <w:tab w:val="left" w:pos="6440"/>
        </w:tabs>
        <w:spacing w:line="252" w:lineRule="auto"/>
        <w:jc w:val="center"/>
        <w:rPr>
          <w:rFonts w:ascii="Garamond" w:hAnsi="Garamond"/>
          <w:color w:val="000000" w:themeColor="text1"/>
          <w:sz w:val="20"/>
          <w:szCs w:val="20"/>
        </w:rPr>
      </w:pPr>
      <w:r w:rsidRPr="00A76C93">
        <w:rPr>
          <w:rFonts w:ascii="Garamond" w:hAnsi="Garamond"/>
          <w:i/>
          <w:iCs/>
          <w:color w:val="000000" w:themeColor="text1"/>
          <w:sz w:val="20"/>
          <w:szCs w:val="20"/>
        </w:rPr>
        <w:t>Sourc</w:t>
      </w:r>
      <w:r w:rsidR="004746BB" w:rsidRPr="004746BB">
        <w:rPr>
          <w:rFonts w:ascii="Garamond" w:hAnsi="Garamond"/>
          <w:i/>
          <w:iCs/>
          <w:color w:val="000000" w:themeColor="text1"/>
          <w:sz w:val="20"/>
          <w:szCs w:val="20"/>
        </w:rPr>
        <w:t>e</w:t>
      </w:r>
      <w:r w:rsidRPr="00A76C93">
        <w:rPr>
          <w:rFonts w:ascii="Garamond" w:hAnsi="Garamond"/>
          <w:i/>
          <w:iCs/>
          <w:color w:val="000000" w:themeColor="text1"/>
          <w:sz w:val="20"/>
          <w:szCs w:val="20"/>
        </w:rPr>
        <w:t> : Citepa, juin 2023</w:t>
      </w:r>
      <w:r w:rsidR="004746BB" w:rsidRPr="004746BB">
        <w:rPr>
          <w:rStyle w:val="Appelnotedebasdep"/>
          <w:rFonts w:ascii="Garamond" w:hAnsi="Garamond"/>
          <w:i/>
          <w:iCs/>
          <w:color w:val="000000" w:themeColor="text1"/>
          <w:sz w:val="20"/>
          <w:szCs w:val="20"/>
        </w:rPr>
        <w:footnoteReference w:id="5"/>
      </w:r>
    </w:p>
    <w:p w14:paraId="4B5001B6" w14:textId="77777777" w:rsidR="004746BB" w:rsidRDefault="004746BB" w:rsidP="00A76C93">
      <w:pPr>
        <w:tabs>
          <w:tab w:val="left" w:pos="6440"/>
        </w:tabs>
        <w:spacing w:line="252" w:lineRule="auto"/>
        <w:jc w:val="both"/>
        <w:rPr>
          <w:rFonts w:ascii="Garamond" w:hAnsi="Garamond"/>
          <w:color w:val="000000" w:themeColor="text1"/>
        </w:rPr>
      </w:pPr>
    </w:p>
    <w:p w14:paraId="0852CB08" w14:textId="08690523" w:rsidR="00A76C93" w:rsidRDefault="00A76C93" w:rsidP="00A76C93">
      <w:pPr>
        <w:tabs>
          <w:tab w:val="left" w:pos="6440"/>
        </w:tabs>
        <w:spacing w:line="252" w:lineRule="auto"/>
        <w:jc w:val="both"/>
        <w:rPr>
          <w:rFonts w:ascii="Garamond" w:hAnsi="Garamond"/>
          <w:color w:val="000000" w:themeColor="text1"/>
        </w:rPr>
      </w:pPr>
      <w:r w:rsidRPr="00A76C93">
        <w:rPr>
          <w:rFonts w:ascii="Garamond" w:hAnsi="Garamond"/>
          <w:color w:val="000000" w:themeColor="text1"/>
        </w:rPr>
        <w:t xml:space="preserve">Ce graphique, qui </w:t>
      </w:r>
      <w:r w:rsidR="004746BB">
        <w:rPr>
          <w:rFonts w:ascii="Garamond" w:hAnsi="Garamond"/>
          <w:color w:val="000000" w:themeColor="text1"/>
        </w:rPr>
        <w:t>révèle</w:t>
      </w:r>
      <w:r w:rsidRPr="00A76C93">
        <w:rPr>
          <w:rFonts w:ascii="Garamond" w:hAnsi="Garamond"/>
          <w:color w:val="000000" w:themeColor="text1"/>
        </w:rPr>
        <w:t xml:space="preserve"> la trajectoire quasi</w:t>
      </w:r>
      <w:r w:rsidR="004746BB">
        <w:rPr>
          <w:rFonts w:ascii="Garamond" w:hAnsi="Garamond"/>
          <w:color w:val="000000" w:themeColor="text1"/>
        </w:rPr>
        <w:t>-</w:t>
      </w:r>
      <w:r w:rsidRPr="00A76C93">
        <w:rPr>
          <w:rFonts w:ascii="Garamond" w:hAnsi="Garamond"/>
          <w:color w:val="000000" w:themeColor="text1"/>
        </w:rPr>
        <w:t xml:space="preserve">linéaire de la réduction des émissions constatées pour les deux premiers budgets carbone, permet </w:t>
      </w:r>
      <w:r w:rsidR="004746BB">
        <w:rPr>
          <w:rFonts w:ascii="Garamond" w:hAnsi="Garamond"/>
          <w:color w:val="000000" w:themeColor="text1"/>
        </w:rPr>
        <w:t>également</w:t>
      </w:r>
      <w:r w:rsidRPr="00A76C93">
        <w:rPr>
          <w:rFonts w:ascii="Garamond" w:hAnsi="Garamond"/>
          <w:color w:val="000000" w:themeColor="text1"/>
        </w:rPr>
        <w:t xml:space="preserve"> de mesurer la marche qui reste à franchir pour atteindre les objectifs fixés, dès le troisième budget carbone, à la politique climatique de l</w:t>
      </w:r>
      <w:r w:rsidR="00F86CA7">
        <w:rPr>
          <w:rFonts w:ascii="Garamond" w:hAnsi="Garamond"/>
          <w:color w:val="000000" w:themeColor="text1"/>
        </w:rPr>
        <w:t>’</w:t>
      </w:r>
      <w:r w:rsidRPr="00A76C93">
        <w:rPr>
          <w:rFonts w:ascii="Garamond" w:hAnsi="Garamond"/>
          <w:color w:val="000000" w:themeColor="text1"/>
        </w:rPr>
        <w:t>État</w:t>
      </w:r>
      <w:r w:rsidR="004746BB">
        <w:rPr>
          <w:rFonts w:ascii="Garamond" w:hAnsi="Garamond"/>
          <w:color w:val="000000" w:themeColor="text1"/>
        </w:rPr>
        <w:t>, ainsi que le nouvel objectif fixé pour 2030</w:t>
      </w:r>
      <w:r w:rsidRPr="00A76C93">
        <w:rPr>
          <w:rFonts w:ascii="Garamond" w:hAnsi="Garamond"/>
          <w:color w:val="000000" w:themeColor="text1"/>
        </w:rPr>
        <w:t xml:space="preserve">. </w:t>
      </w:r>
    </w:p>
    <w:p w14:paraId="607F0292" w14:textId="77777777" w:rsidR="004746BB" w:rsidRPr="00A76C93" w:rsidRDefault="004746BB" w:rsidP="00A76C93">
      <w:pPr>
        <w:tabs>
          <w:tab w:val="left" w:pos="6440"/>
        </w:tabs>
        <w:spacing w:line="252" w:lineRule="auto"/>
        <w:jc w:val="both"/>
        <w:rPr>
          <w:rFonts w:ascii="Garamond" w:hAnsi="Garamond"/>
          <w:color w:val="000000" w:themeColor="text1"/>
        </w:rPr>
      </w:pPr>
    </w:p>
    <w:p w14:paraId="6B43B8DC" w14:textId="3BC924B0" w:rsid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lastRenderedPageBreak/>
        <w:t xml:space="preserve">Partant, </w:t>
      </w:r>
      <w:r w:rsidR="00A76C93" w:rsidRPr="00A76C93">
        <w:rPr>
          <w:rFonts w:ascii="Garamond" w:hAnsi="Garamond"/>
          <w:color w:val="000000" w:themeColor="text1"/>
        </w:rPr>
        <w:t xml:space="preserve">dès lors que les mesures adoptées </w:t>
      </w:r>
      <w:r>
        <w:rPr>
          <w:rFonts w:ascii="Garamond" w:hAnsi="Garamond"/>
          <w:color w:val="000000" w:themeColor="text1"/>
        </w:rPr>
        <w:t>jusqu</w:t>
      </w:r>
      <w:r w:rsidR="00F86CA7">
        <w:rPr>
          <w:rFonts w:ascii="Garamond" w:hAnsi="Garamond"/>
          <w:color w:val="000000" w:themeColor="text1"/>
        </w:rPr>
        <w:t>’</w:t>
      </w:r>
      <w:r>
        <w:rPr>
          <w:rFonts w:ascii="Garamond" w:hAnsi="Garamond"/>
          <w:color w:val="000000" w:themeColor="text1"/>
        </w:rPr>
        <w:t xml:space="preserve">alors </w:t>
      </w:r>
      <w:r w:rsidR="00A76C93" w:rsidRPr="00A76C93">
        <w:rPr>
          <w:rFonts w:ascii="Garamond" w:hAnsi="Garamond"/>
          <w:color w:val="000000" w:themeColor="text1"/>
        </w:rPr>
        <w:t>ne sont</w:t>
      </w:r>
      <w:r>
        <w:rPr>
          <w:rFonts w:ascii="Garamond" w:hAnsi="Garamond"/>
          <w:color w:val="000000" w:themeColor="text1"/>
        </w:rPr>
        <w:t>, d</w:t>
      </w:r>
      <w:r w:rsidR="00F86CA7">
        <w:rPr>
          <w:rFonts w:ascii="Garamond" w:hAnsi="Garamond"/>
          <w:color w:val="000000" w:themeColor="text1"/>
        </w:rPr>
        <w:t>’</w:t>
      </w:r>
      <w:r>
        <w:rPr>
          <w:rFonts w:ascii="Garamond" w:hAnsi="Garamond"/>
          <w:color w:val="000000" w:themeColor="text1"/>
        </w:rPr>
        <w:t xml:space="preserve">ores et déjà, </w:t>
      </w:r>
      <w:r w:rsidR="00A76C93" w:rsidRPr="00A76C93">
        <w:rPr>
          <w:rFonts w:ascii="Garamond" w:hAnsi="Garamond"/>
          <w:color w:val="000000" w:themeColor="text1"/>
        </w:rPr>
        <w:t>pas suffisantes pour atteindre un objectif</w:t>
      </w:r>
      <w:r>
        <w:rPr>
          <w:rFonts w:ascii="Garamond" w:hAnsi="Garamond"/>
          <w:color w:val="000000" w:themeColor="text1"/>
        </w:rPr>
        <w:t xml:space="preserve"> pourtant </w:t>
      </w:r>
      <w:r w:rsidR="00A76C93" w:rsidRPr="00A76C93">
        <w:rPr>
          <w:rFonts w:ascii="Garamond" w:hAnsi="Garamond"/>
          <w:color w:val="000000" w:themeColor="text1"/>
        </w:rPr>
        <w:t>moins ambitieux</w:t>
      </w:r>
      <w:r>
        <w:rPr>
          <w:rFonts w:ascii="Garamond" w:hAnsi="Garamond"/>
          <w:color w:val="000000" w:themeColor="text1"/>
        </w:rPr>
        <w:t>, le renforcement des objectifs à venir confirme</w:t>
      </w:r>
      <w:r w:rsidRPr="00A76C93">
        <w:rPr>
          <w:rFonts w:ascii="Garamond" w:hAnsi="Garamond"/>
          <w:color w:val="000000" w:themeColor="text1"/>
        </w:rPr>
        <w:t xml:space="preserve"> le risque d</w:t>
      </w:r>
      <w:r w:rsidR="00F86CA7">
        <w:rPr>
          <w:rFonts w:ascii="Garamond" w:hAnsi="Garamond"/>
          <w:color w:val="000000" w:themeColor="text1"/>
        </w:rPr>
        <w:t>’</w:t>
      </w:r>
      <w:r w:rsidRPr="00A76C93">
        <w:rPr>
          <w:rFonts w:ascii="Garamond" w:hAnsi="Garamond"/>
          <w:color w:val="000000" w:themeColor="text1"/>
        </w:rPr>
        <w:t xml:space="preserve">aggravation du préjudice écologique constaté par </w:t>
      </w:r>
      <w:r>
        <w:rPr>
          <w:rFonts w:ascii="Garamond" w:hAnsi="Garamond"/>
          <w:color w:val="000000" w:themeColor="text1"/>
        </w:rPr>
        <w:t>le Tribunal administratif de Paris.</w:t>
      </w:r>
    </w:p>
    <w:p w14:paraId="5A19F57C" w14:textId="77777777" w:rsidR="004746BB" w:rsidRDefault="004746BB" w:rsidP="004746BB">
      <w:pPr>
        <w:spacing w:line="252" w:lineRule="auto"/>
        <w:jc w:val="both"/>
        <w:rPr>
          <w:rFonts w:ascii="Garamond" w:hAnsi="Garamond"/>
        </w:rPr>
      </w:pPr>
    </w:p>
    <w:p w14:paraId="30EB7F2C"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557A8EC1" w14:textId="77777777" w:rsidR="004746BB" w:rsidRDefault="004746BB" w:rsidP="004746BB">
      <w:pPr>
        <w:tabs>
          <w:tab w:val="left" w:pos="6440"/>
        </w:tabs>
        <w:spacing w:line="252" w:lineRule="auto"/>
        <w:jc w:val="both"/>
        <w:rPr>
          <w:rFonts w:ascii="Garamond" w:hAnsi="Garamond"/>
          <w:color w:val="000000" w:themeColor="text1"/>
        </w:rPr>
      </w:pPr>
    </w:p>
    <w:p w14:paraId="6805921B" w14:textId="7D4068C4" w:rsidR="004746BB" w:rsidRDefault="004746BB" w:rsidP="00A76C93">
      <w:pPr>
        <w:tabs>
          <w:tab w:val="left" w:pos="6440"/>
        </w:tabs>
        <w:spacing w:line="252" w:lineRule="auto"/>
        <w:jc w:val="both"/>
        <w:rPr>
          <w:rFonts w:ascii="Garamond" w:hAnsi="Garamond"/>
          <w:color w:val="000000" w:themeColor="text1"/>
        </w:rPr>
      </w:pPr>
      <w:r w:rsidRPr="004746BB">
        <w:rPr>
          <w:rFonts w:ascii="Garamond" w:hAnsi="Garamond"/>
          <w:color w:val="000000" w:themeColor="text1"/>
        </w:rPr>
        <w:t>Par con</w:t>
      </w:r>
      <w:r>
        <w:rPr>
          <w:rFonts w:ascii="Garamond" w:hAnsi="Garamond"/>
          <w:color w:val="000000" w:themeColor="text1"/>
        </w:rPr>
        <w:t>s</w:t>
      </w:r>
      <w:r w:rsidRPr="004746BB">
        <w:rPr>
          <w:rFonts w:ascii="Garamond" w:hAnsi="Garamond"/>
          <w:color w:val="000000" w:themeColor="text1"/>
        </w:rPr>
        <w:t>équent</w:t>
      </w:r>
      <w:r w:rsidR="00A76C93" w:rsidRPr="00A76C93">
        <w:rPr>
          <w:rFonts w:ascii="Garamond" w:hAnsi="Garamond"/>
          <w:color w:val="000000" w:themeColor="text1"/>
        </w:rPr>
        <w:t xml:space="preserve">, </w:t>
      </w:r>
      <w:r>
        <w:rPr>
          <w:rFonts w:ascii="Garamond" w:hAnsi="Garamond"/>
          <w:color w:val="000000" w:themeColor="text1"/>
        </w:rPr>
        <w:t>il apparaît que l</w:t>
      </w:r>
      <w:r w:rsidR="00F86CA7">
        <w:rPr>
          <w:rFonts w:ascii="Garamond" w:hAnsi="Garamond"/>
          <w:color w:val="000000" w:themeColor="text1"/>
        </w:rPr>
        <w:t>’</w:t>
      </w:r>
      <w:r>
        <w:rPr>
          <w:rFonts w:ascii="Garamond" w:hAnsi="Garamond"/>
          <w:color w:val="000000" w:themeColor="text1"/>
        </w:rPr>
        <w:t>État s</w:t>
      </w:r>
      <w:r w:rsidR="00F86CA7">
        <w:rPr>
          <w:rFonts w:ascii="Garamond" w:hAnsi="Garamond"/>
          <w:color w:val="000000" w:themeColor="text1"/>
        </w:rPr>
        <w:t>’</w:t>
      </w:r>
      <w:r>
        <w:rPr>
          <w:rFonts w:ascii="Garamond" w:hAnsi="Garamond"/>
          <w:color w:val="000000" w:themeColor="text1"/>
        </w:rPr>
        <w:t>est abstenu d</w:t>
      </w:r>
      <w:r w:rsidR="00F86CA7">
        <w:rPr>
          <w:rFonts w:ascii="Garamond" w:hAnsi="Garamond"/>
          <w:color w:val="000000" w:themeColor="text1"/>
        </w:rPr>
        <w:t>’</w:t>
      </w:r>
      <w:r>
        <w:rPr>
          <w:rFonts w:ascii="Garamond" w:hAnsi="Garamond"/>
          <w:color w:val="000000" w:themeColor="text1"/>
        </w:rPr>
        <w:t>adopter des</w:t>
      </w:r>
      <w:r w:rsidR="00A76C93" w:rsidRPr="00A76C93">
        <w:rPr>
          <w:rFonts w:ascii="Garamond" w:hAnsi="Garamond"/>
          <w:color w:val="000000" w:themeColor="text1"/>
        </w:rPr>
        <w:t xml:space="preserve"> </w:t>
      </w:r>
      <w:r>
        <w:rPr>
          <w:rFonts w:ascii="Garamond" w:hAnsi="Garamond"/>
          <w:color w:val="000000" w:themeColor="text1"/>
        </w:rPr>
        <w:t>mesures</w:t>
      </w:r>
      <w:r w:rsidR="00A76C93" w:rsidRPr="00A76C93">
        <w:rPr>
          <w:rFonts w:ascii="Garamond" w:hAnsi="Garamond"/>
          <w:color w:val="000000" w:themeColor="text1"/>
        </w:rPr>
        <w:t xml:space="preserve"> </w:t>
      </w:r>
      <w:r>
        <w:rPr>
          <w:rFonts w:ascii="Garamond" w:hAnsi="Garamond"/>
          <w:color w:val="000000" w:themeColor="text1"/>
        </w:rPr>
        <w:t xml:space="preserve">correctrices </w:t>
      </w:r>
      <w:r w:rsidR="00A76C93" w:rsidRPr="00A76C93">
        <w:rPr>
          <w:rFonts w:ascii="Garamond" w:hAnsi="Garamond"/>
          <w:color w:val="000000" w:themeColor="text1"/>
        </w:rPr>
        <w:t>spécifique</w:t>
      </w:r>
      <w:r>
        <w:rPr>
          <w:rFonts w:ascii="Garamond" w:hAnsi="Garamond"/>
          <w:color w:val="000000" w:themeColor="text1"/>
        </w:rPr>
        <w:t xml:space="preserve">s, permettant tout à la fois de </w:t>
      </w:r>
      <w:r w:rsidR="00A76C93" w:rsidRPr="00A76C93">
        <w:rPr>
          <w:rFonts w:ascii="Garamond" w:hAnsi="Garamond"/>
          <w:color w:val="000000" w:themeColor="text1"/>
        </w:rPr>
        <w:t>réparer le préjudice écologique</w:t>
      </w:r>
      <w:r>
        <w:rPr>
          <w:rFonts w:ascii="Garamond" w:hAnsi="Garamond"/>
          <w:color w:val="000000" w:themeColor="text1"/>
        </w:rPr>
        <w:t xml:space="preserve">, et de prévenir son aggravation. </w:t>
      </w:r>
    </w:p>
    <w:p w14:paraId="2B05D2BE" w14:textId="77777777" w:rsidR="004746BB" w:rsidRDefault="004746BB" w:rsidP="00A76C93">
      <w:pPr>
        <w:tabs>
          <w:tab w:val="left" w:pos="6440"/>
        </w:tabs>
        <w:spacing w:line="252" w:lineRule="auto"/>
        <w:jc w:val="both"/>
        <w:rPr>
          <w:rFonts w:ascii="Garamond" w:hAnsi="Garamond"/>
          <w:color w:val="000000" w:themeColor="text1"/>
        </w:rPr>
      </w:pPr>
    </w:p>
    <w:p w14:paraId="37E64644" w14:textId="36B32862" w:rsidR="004746BB"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Dès lors,</w:t>
      </w:r>
      <w:r w:rsidR="00A76C93" w:rsidRPr="00A76C93">
        <w:rPr>
          <w:rFonts w:ascii="Garamond" w:hAnsi="Garamond"/>
          <w:color w:val="000000" w:themeColor="text1"/>
        </w:rPr>
        <w:t xml:space="preserve"> l</w:t>
      </w:r>
      <w:r w:rsidR="00F86CA7">
        <w:rPr>
          <w:rFonts w:ascii="Garamond" w:hAnsi="Garamond"/>
          <w:color w:val="000000" w:themeColor="text1"/>
        </w:rPr>
        <w:t>’</w:t>
      </w:r>
      <w:r w:rsidR="00A76C93" w:rsidRPr="00A76C93">
        <w:rPr>
          <w:rFonts w:ascii="Garamond" w:hAnsi="Garamond"/>
          <w:color w:val="000000" w:themeColor="text1"/>
        </w:rPr>
        <w:t>État n</w:t>
      </w:r>
      <w:r>
        <w:rPr>
          <w:rFonts w:ascii="Garamond" w:hAnsi="Garamond"/>
          <w:color w:val="000000" w:themeColor="text1"/>
        </w:rPr>
        <w:t>e peut être regardé comme ayant remédié aux causes, et aux effets, du préjudice écologique lié au surplus d</w:t>
      </w:r>
      <w:r w:rsidR="00F86CA7">
        <w:rPr>
          <w:rFonts w:ascii="Garamond" w:hAnsi="Garamond"/>
          <w:color w:val="000000" w:themeColor="text1"/>
        </w:rPr>
        <w:t>’</w:t>
      </w:r>
      <w:r>
        <w:rPr>
          <w:rFonts w:ascii="Garamond" w:hAnsi="Garamond"/>
          <w:color w:val="000000" w:themeColor="text1"/>
        </w:rPr>
        <w:t xml:space="preserve">émissions résultant du premier budget carbone, avant le 31 décembre 2022. </w:t>
      </w:r>
    </w:p>
    <w:p w14:paraId="7D4C201B" w14:textId="77777777" w:rsidR="004746BB" w:rsidRDefault="004746BB" w:rsidP="00A76C93">
      <w:pPr>
        <w:tabs>
          <w:tab w:val="left" w:pos="6440"/>
        </w:tabs>
        <w:spacing w:line="252" w:lineRule="auto"/>
        <w:jc w:val="both"/>
        <w:rPr>
          <w:rFonts w:ascii="Garamond" w:hAnsi="Garamond"/>
          <w:color w:val="000000" w:themeColor="text1"/>
        </w:rPr>
      </w:pPr>
    </w:p>
    <w:p w14:paraId="2017D0A7" w14:textId="19DAAB66" w:rsidR="00A76C93" w:rsidRPr="00A76C93" w:rsidRDefault="004746BB" w:rsidP="00A76C93">
      <w:pPr>
        <w:tabs>
          <w:tab w:val="left" w:pos="6440"/>
        </w:tabs>
        <w:spacing w:line="252" w:lineRule="auto"/>
        <w:jc w:val="both"/>
        <w:rPr>
          <w:rFonts w:ascii="Garamond" w:hAnsi="Garamond"/>
          <w:color w:val="000000" w:themeColor="text1"/>
        </w:rPr>
      </w:pPr>
      <w:r>
        <w:rPr>
          <w:rFonts w:ascii="Garamond" w:hAnsi="Garamond"/>
          <w:color w:val="000000" w:themeColor="text1"/>
        </w:rPr>
        <w:t>Ce dont il résulte que le</w:t>
      </w:r>
      <w:r w:rsidR="00A76C93" w:rsidRPr="00A76C93">
        <w:rPr>
          <w:rFonts w:ascii="Garamond" w:hAnsi="Garamond"/>
          <w:color w:val="000000" w:themeColor="text1"/>
        </w:rPr>
        <w:t xml:space="preserve"> jugement du 14 octobre 2021</w:t>
      </w:r>
      <w:r>
        <w:rPr>
          <w:rFonts w:ascii="Garamond" w:hAnsi="Garamond"/>
          <w:color w:val="000000" w:themeColor="text1"/>
        </w:rPr>
        <w:t xml:space="preserve"> n</w:t>
      </w:r>
      <w:r w:rsidR="00F86CA7">
        <w:rPr>
          <w:rFonts w:ascii="Garamond" w:hAnsi="Garamond"/>
          <w:color w:val="000000" w:themeColor="text1"/>
        </w:rPr>
        <w:t>’</w:t>
      </w:r>
      <w:r>
        <w:rPr>
          <w:rFonts w:ascii="Garamond" w:hAnsi="Garamond"/>
          <w:color w:val="000000" w:themeColor="text1"/>
        </w:rPr>
        <w:t xml:space="preserve">a pas été pleinement exécuté. </w:t>
      </w:r>
    </w:p>
    <w:p w14:paraId="074C1D42" w14:textId="77777777" w:rsidR="004746BB" w:rsidRDefault="004746BB" w:rsidP="004746BB">
      <w:pPr>
        <w:spacing w:line="252" w:lineRule="auto"/>
        <w:jc w:val="both"/>
        <w:rPr>
          <w:rFonts w:ascii="Garamond" w:hAnsi="Garamond"/>
        </w:rPr>
      </w:pPr>
    </w:p>
    <w:p w14:paraId="0E0B0ED9" w14:textId="2DB2781F" w:rsidR="004746BB" w:rsidRDefault="004746BB">
      <w:pPr>
        <w:rPr>
          <w:rFonts w:ascii="Garamond" w:hAnsi="Garamond"/>
          <w:color w:val="000000" w:themeColor="text1"/>
        </w:rPr>
      </w:pPr>
      <w:r>
        <w:rPr>
          <w:rFonts w:ascii="Garamond" w:hAnsi="Garamond"/>
          <w:color w:val="000000" w:themeColor="text1"/>
        </w:rPr>
        <w:br w:type="page"/>
      </w:r>
    </w:p>
    <w:p w14:paraId="32B71B39"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59455234" w14:textId="77777777" w:rsidR="004746BB" w:rsidRDefault="004746BB" w:rsidP="004746BB">
      <w:pPr>
        <w:tabs>
          <w:tab w:val="left" w:pos="6440"/>
        </w:tabs>
        <w:spacing w:line="252" w:lineRule="auto"/>
        <w:jc w:val="both"/>
        <w:rPr>
          <w:rFonts w:ascii="Garamond" w:hAnsi="Garamond"/>
          <w:color w:val="000000" w:themeColor="text1"/>
        </w:rPr>
      </w:pPr>
    </w:p>
    <w:p w14:paraId="4CAC4C8A" w14:textId="451E8E76" w:rsidR="00A76C93" w:rsidRDefault="004746BB" w:rsidP="00A76C93">
      <w:pPr>
        <w:tabs>
          <w:tab w:val="left" w:pos="6440"/>
        </w:tabs>
        <w:spacing w:line="252" w:lineRule="auto"/>
        <w:jc w:val="both"/>
        <w:rPr>
          <w:rFonts w:ascii="Garamond" w:hAnsi="Garamond"/>
        </w:rPr>
      </w:pPr>
      <w:r>
        <w:rPr>
          <w:rFonts w:ascii="Garamond" w:hAnsi="Garamond"/>
          <w:b/>
          <w:bCs/>
          <w:color w:val="000000" w:themeColor="text1"/>
          <w:u w:val="single"/>
        </w:rPr>
        <w:t>Dans ces conditions</w:t>
      </w:r>
      <w:r>
        <w:rPr>
          <w:rFonts w:ascii="Garamond" w:hAnsi="Garamond"/>
          <w:color w:val="000000" w:themeColor="text1"/>
        </w:rPr>
        <w:t xml:space="preserve">, les associations </w:t>
      </w:r>
      <w:r>
        <w:rPr>
          <w:rFonts w:ascii="Garamond" w:hAnsi="Garamond"/>
        </w:rPr>
        <w:t>Notre Affaire À Tous, Oxfam France et Greenpeace France sont fondées à solliciter du Président du Tribunal administratif de Paris, sur le fondement de l</w:t>
      </w:r>
      <w:r w:rsidR="00F86CA7">
        <w:rPr>
          <w:rFonts w:ascii="Garamond" w:hAnsi="Garamond"/>
        </w:rPr>
        <w:t>’</w:t>
      </w:r>
      <w:r>
        <w:rPr>
          <w:rFonts w:ascii="Garamond" w:hAnsi="Garamond"/>
        </w:rPr>
        <w:t>article L. 911-4 du Code de justice administrative, qu</w:t>
      </w:r>
      <w:r w:rsidR="00F86CA7">
        <w:rPr>
          <w:rFonts w:ascii="Garamond" w:hAnsi="Garamond"/>
        </w:rPr>
        <w:t>’</w:t>
      </w:r>
      <w:r>
        <w:rPr>
          <w:rFonts w:ascii="Garamond" w:hAnsi="Garamond"/>
        </w:rPr>
        <w:t>il prescrive l</w:t>
      </w:r>
      <w:r w:rsidR="00F86CA7">
        <w:rPr>
          <w:rFonts w:ascii="Garamond" w:hAnsi="Garamond"/>
        </w:rPr>
        <w:t>’</w:t>
      </w:r>
      <w:r>
        <w:rPr>
          <w:rFonts w:ascii="Garamond" w:hAnsi="Garamond"/>
        </w:rPr>
        <w:t>ensemble des mesures nécessaires à l</w:t>
      </w:r>
      <w:r w:rsidR="00F86CA7">
        <w:rPr>
          <w:rFonts w:ascii="Garamond" w:hAnsi="Garamond"/>
        </w:rPr>
        <w:t>’</w:t>
      </w:r>
      <w:r>
        <w:rPr>
          <w:rFonts w:ascii="Garamond" w:hAnsi="Garamond"/>
        </w:rPr>
        <w:t xml:space="preserve">exécution complète du jugement du 14 octobre 2021. </w:t>
      </w:r>
    </w:p>
    <w:p w14:paraId="3347C008" w14:textId="77777777" w:rsidR="004746BB" w:rsidRDefault="004746BB" w:rsidP="00A76C93">
      <w:pPr>
        <w:tabs>
          <w:tab w:val="left" w:pos="6440"/>
        </w:tabs>
        <w:spacing w:line="252" w:lineRule="auto"/>
        <w:jc w:val="both"/>
        <w:rPr>
          <w:rFonts w:ascii="Garamond" w:hAnsi="Garamond"/>
        </w:rPr>
      </w:pPr>
    </w:p>
    <w:p w14:paraId="7F5E415C" w14:textId="3DCFE369" w:rsidR="004746BB" w:rsidRPr="00A76C93" w:rsidRDefault="004746BB" w:rsidP="00A76C93">
      <w:pPr>
        <w:tabs>
          <w:tab w:val="left" w:pos="6440"/>
        </w:tabs>
        <w:spacing w:line="252" w:lineRule="auto"/>
        <w:jc w:val="both"/>
        <w:rPr>
          <w:rFonts w:ascii="Garamond" w:hAnsi="Garamond"/>
          <w:color w:val="000000" w:themeColor="text1"/>
        </w:rPr>
      </w:pPr>
      <w:r>
        <w:rPr>
          <w:rFonts w:ascii="Garamond" w:hAnsi="Garamond"/>
        </w:rPr>
        <w:t>En particulier, il est demandé au Président du Tribunal administratif de Paris d</w:t>
      </w:r>
      <w:r w:rsidR="00F86CA7">
        <w:rPr>
          <w:rFonts w:ascii="Garamond" w:hAnsi="Garamond"/>
        </w:rPr>
        <w:t>’</w:t>
      </w:r>
      <w:r>
        <w:rPr>
          <w:rFonts w:ascii="Garamond" w:hAnsi="Garamond"/>
        </w:rPr>
        <w:t xml:space="preserve">enjoindre à la </w:t>
      </w:r>
      <w:r w:rsidR="006833F1">
        <w:rPr>
          <w:rFonts w:ascii="Garamond" w:hAnsi="Garamond"/>
        </w:rPr>
        <w:t>P</w:t>
      </w:r>
      <w:r>
        <w:rPr>
          <w:rFonts w:ascii="Garamond" w:hAnsi="Garamond"/>
        </w:rPr>
        <w:t xml:space="preserve">remière ministre et aux ministres compétents de prendre, à bref délai, des mesures sectorielles concrètes, permettant de tenir effectivement </w:t>
      </w:r>
      <w:r w:rsidR="006833F1">
        <w:rPr>
          <w:rFonts w:ascii="Garamond" w:hAnsi="Garamond"/>
        </w:rPr>
        <w:t xml:space="preserve">compte </w:t>
      </w:r>
      <w:r>
        <w:rPr>
          <w:rFonts w:ascii="Garamond" w:hAnsi="Garamond"/>
        </w:rPr>
        <w:t>du surplus d</w:t>
      </w:r>
      <w:r w:rsidR="00F86CA7">
        <w:rPr>
          <w:rFonts w:ascii="Garamond" w:hAnsi="Garamond"/>
        </w:rPr>
        <w:t>’</w:t>
      </w:r>
      <w:r>
        <w:rPr>
          <w:rFonts w:ascii="Garamond" w:hAnsi="Garamond"/>
        </w:rPr>
        <w:t>émissions de gaz à effet de serre lié au dépassement du premier budget carbone, d</w:t>
      </w:r>
      <w:r w:rsidR="00F86CA7">
        <w:rPr>
          <w:rFonts w:ascii="Garamond" w:hAnsi="Garamond"/>
        </w:rPr>
        <w:t>’</w:t>
      </w:r>
      <w:r>
        <w:rPr>
          <w:rFonts w:ascii="Garamond" w:hAnsi="Garamond"/>
        </w:rPr>
        <w:t>assurer la réparation du préjudice écologique résultant de ce dépassement, et de prévenir, pour l</w:t>
      </w:r>
      <w:r w:rsidR="00F86CA7">
        <w:rPr>
          <w:rFonts w:ascii="Garamond" w:hAnsi="Garamond"/>
        </w:rPr>
        <w:t>’</w:t>
      </w:r>
      <w:r>
        <w:rPr>
          <w:rFonts w:ascii="Garamond" w:hAnsi="Garamond"/>
        </w:rPr>
        <w:t xml:space="preserve">avenir, sa résurgence ou son aggravation. </w:t>
      </w:r>
    </w:p>
    <w:p w14:paraId="79F3252D" w14:textId="77777777" w:rsidR="00A76C93" w:rsidRDefault="00A76C93" w:rsidP="001C3EA9">
      <w:pPr>
        <w:tabs>
          <w:tab w:val="left" w:pos="6440"/>
        </w:tabs>
        <w:spacing w:line="252" w:lineRule="auto"/>
        <w:jc w:val="both"/>
        <w:rPr>
          <w:rFonts w:ascii="Garamond" w:hAnsi="Garamond"/>
          <w:color w:val="000000" w:themeColor="text1"/>
        </w:rPr>
      </w:pPr>
    </w:p>
    <w:p w14:paraId="3928EF19" w14:textId="7B223D68" w:rsidR="00A76C93" w:rsidRDefault="004746BB" w:rsidP="001C3EA9">
      <w:pPr>
        <w:tabs>
          <w:tab w:val="left" w:pos="6440"/>
        </w:tabs>
        <w:spacing w:line="252" w:lineRule="auto"/>
        <w:jc w:val="both"/>
        <w:rPr>
          <w:rFonts w:ascii="Garamond" w:hAnsi="Garamond"/>
          <w:color w:val="000000" w:themeColor="text1"/>
        </w:rPr>
      </w:pPr>
      <w:r w:rsidRPr="004746BB">
        <w:rPr>
          <w:rFonts w:ascii="Garamond" w:hAnsi="Garamond"/>
          <w:color w:val="000000" w:themeColor="text1"/>
        </w:rPr>
        <w:t>Enfin, compte tenu des enjeux et, précisément, de la nécessité d</w:t>
      </w:r>
      <w:r w:rsidR="00F86CA7">
        <w:rPr>
          <w:rFonts w:ascii="Garamond" w:hAnsi="Garamond"/>
          <w:color w:val="000000" w:themeColor="text1"/>
        </w:rPr>
        <w:t>’</w:t>
      </w:r>
      <w:r w:rsidRPr="004746BB">
        <w:rPr>
          <w:rFonts w:ascii="Garamond" w:hAnsi="Garamond"/>
          <w:color w:val="000000" w:themeColor="text1"/>
        </w:rPr>
        <w:t>obtenir l</w:t>
      </w:r>
      <w:r w:rsidR="00F86CA7">
        <w:rPr>
          <w:rFonts w:ascii="Garamond" w:hAnsi="Garamond"/>
          <w:color w:val="000000" w:themeColor="text1"/>
        </w:rPr>
        <w:t>’</w:t>
      </w:r>
      <w:r w:rsidRPr="004746BB">
        <w:rPr>
          <w:rFonts w:ascii="Garamond" w:hAnsi="Garamond"/>
          <w:color w:val="000000" w:themeColor="text1"/>
        </w:rPr>
        <w:t>exécution des mesures prescrites à bref délai, de l</w:t>
      </w:r>
      <w:r w:rsidR="00F86CA7">
        <w:rPr>
          <w:rFonts w:ascii="Garamond" w:hAnsi="Garamond"/>
          <w:color w:val="000000" w:themeColor="text1"/>
        </w:rPr>
        <w:t>’</w:t>
      </w:r>
      <w:r w:rsidRPr="004746BB">
        <w:rPr>
          <w:rFonts w:ascii="Garamond" w:hAnsi="Garamond"/>
          <w:color w:val="000000" w:themeColor="text1"/>
        </w:rPr>
        <w:t>urgence climatique caractérisée, de la gravité de la situation et de l</w:t>
      </w:r>
      <w:r w:rsidR="00F86CA7">
        <w:rPr>
          <w:rFonts w:ascii="Garamond" w:hAnsi="Garamond"/>
          <w:color w:val="000000" w:themeColor="text1"/>
        </w:rPr>
        <w:t>’</w:t>
      </w:r>
      <w:r w:rsidRPr="004746BB">
        <w:rPr>
          <w:rFonts w:ascii="Garamond" w:hAnsi="Garamond"/>
          <w:color w:val="000000" w:themeColor="text1"/>
        </w:rPr>
        <w:t>inertie prolongée de l</w:t>
      </w:r>
      <w:r w:rsidR="00F86CA7">
        <w:rPr>
          <w:rFonts w:ascii="Garamond" w:hAnsi="Garamond"/>
          <w:color w:val="000000" w:themeColor="text1"/>
        </w:rPr>
        <w:t>’</w:t>
      </w:r>
      <w:r w:rsidRPr="004746BB">
        <w:rPr>
          <w:rFonts w:ascii="Garamond" w:hAnsi="Garamond"/>
          <w:color w:val="000000" w:themeColor="text1"/>
        </w:rPr>
        <w:t>État, il conviendrait que les mesures d</w:t>
      </w:r>
      <w:r w:rsidR="00F86CA7">
        <w:rPr>
          <w:rFonts w:ascii="Garamond" w:hAnsi="Garamond"/>
          <w:color w:val="000000" w:themeColor="text1"/>
        </w:rPr>
        <w:t>’</w:t>
      </w:r>
      <w:r w:rsidRPr="004746BB">
        <w:rPr>
          <w:rFonts w:ascii="Garamond" w:hAnsi="Garamond"/>
          <w:color w:val="000000" w:themeColor="text1"/>
        </w:rPr>
        <w:t>injonction sollicitées soient assorties d</w:t>
      </w:r>
      <w:r w:rsidR="00F86CA7">
        <w:rPr>
          <w:rFonts w:ascii="Garamond" w:hAnsi="Garamond"/>
          <w:color w:val="000000" w:themeColor="text1"/>
        </w:rPr>
        <w:t>’</w:t>
      </w:r>
      <w:r w:rsidRPr="004746BB">
        <w:rPr>
          <w:rFonts w:ascii="Garamond" w:hAnsi="Garamond"/>
          <w:color w:val="000000" w:themeColor="text1"/>
        </w:rPr>
        <w:t>une astreinte, sur le fondement de l</w:t>
      </w:r>
      <w:r w:rsidR="00F86CA7">
        <w:rPr>
          <w:rFonts w:ascii="Garamond" w:hAnsi="Garamond"/>
          <w:color w:val="000000" w:themeColor="text1"/>
        </w:rPr>
        <w:t>’</w:t>
      </w:r>
      <w:r w:rsidRPr="004746BB">
        <w:rPr>
          <w:rFonts w:ascii="Garamond" w:hAnsi="Garamond"/>
          <w:color w:val="000000" w:themeColor="text1"/>
        </w:rPr>
        <w:t>article L. 911-</w:t>
      </w:r>
      <w:r>
        <w:rPr>
          <w:rFonts w:ascii="Garamond" w:hAnsi="Garamond"/>
          <w:color w:val="000000" w:themeColor="text1"/>
        </w:rPr>
        <w:t>4</w:t>
      </w:r>
      <w:r w:rsidRPr="004746BB">
        <w:rPr>
          <w:rFonts w:ascii="Garamond" w:hAnsi="Garamond"/>
          <w:color w:val="000000" w:themeColor="text1"/>
        </w:rPr>
        <w:t xml:space="preserve"> du Code de justice administrative.</w:t>
      </w:r>
    </w:p>
    <w:p w14:paraId="4D86FAA3" w14:textId="77777777" w:rsidR="00A76C93" w:rsidRDefault="00A76C93" w:rsidP="001C3EA9">
      <w:pPr>
        <w:tabs>
          <w:tab w:val="left" w:pos="6440"/>
        </w:tabs>
        <w:spacing w:line="252" w:lineRule="auto"/>
        <w:jc w:val="both"/>
        <w:rPr>
          <w:rFonts w:ascii="Garamond" w:hAnsi="Garamond"/>
          <w:color w:val="000000" w:themeColor="text1"/>
        </w:rPr>
      </w:pPr>
    </w:p>
    <w:p w14:paraId="0A1D91DE" w14:textId="77777777" w:rsidR="00A76C93" w:rsidRDefault="00A76C93" w:rsidP="001C3EA9">
      <w:pPr>
        <w:tabs>
          <w:tab w:val="left" w:pos="6440"/>
        </w:tabs>
        <w:spacing w:line="252" w:lineRule="auto"/>
        <w:jc w:val="both"/>
        <w:rPr>
          <w:rFonts w:ascii="Garamond" w:hAnsi="Garamond"/>
          <w:color w:val="000000" w:themeColor="text1"/>
        </w:rPr>
      </w:pPr>
    </w:p>
    <w:p w14:paraId="28428814" w14:textId="65A5B913" w:rsidR="004746BB" w:rsidRDefault="004746BB" w:rsidP="004746BB">
      <w:pPr>
        <w:rPr>
          <w:rFonts w:ascii="Garamond" w:hAnsi="Garamond"/>
        </w:rPr>
      </w:pPr>
    </w:p>
    <w:p w14:paraId="1B6B3DCF" w14:textId="2C4CC7E5" w:rsidR="004746BB" w:rsidRPr="00F52A38" w:rsidRDefault="004746BB" w:rsidP="004746BB">
      <w:pPr>
        <w:pStyle w:val="Titre2"/>
        <w:numPr>
          <w:ilvl w:val="0"/>
          <w:numId w:val="35"/>
        </w:numPr>
        <w:spacing w:line="252" w:lineRule="auto"/>
        <w:ind w:left="567" w:right="0" w:hanging="567"/>
        <w:jc w:val="both"/>
        <w:rPr>
          <w:rFonts w:ascii="Garamond" w:hAnsi="Garamond"/>
          <w:smallCaps/>
          <w:color w:val="000000" w:themeColor="text1"/>
          <w:sz w:val="24"/>
          <w:szCs w:val="24"/>
          <w:u w:val="single"/>
        </w:rPr>
      </w:pPr>
      <w:r>
        <w:rPr>
          <w:rFonts w:ascii="Garamond" w:hAnsi="Garamond"/>
          <w:smallCaps/>
          <w:color w:val="000000" w:themeColor="text1"/>
          <w:sz w:val="24"/>
          <w:szCs w:val="24"/>
          <w:u w:val="single"/>
        </w:rPr>
        <w:t>SUR LA DEMANDE D</w:t>
      </w:r>
      <w:r w:rsidR="00F86CA7">
        <w:rPr>
          <w:rFonts w:ascii="Garamond" w:hAnsi="Garamond"/>
          <w:smallCaps/>
          <w:color w:val="000000" w:themeColor="text1"/>
          <w:sz w:val="24"/>
          <w:szCs w:val="24"/>
          <w:u w:val="single"/>
        </w:rPr>
        <w:t>’</w:t>
      </w:r>
      <w:r>
        <w:rPr>
          <w:rFonts w:ascii="Garamond" w:hAnsi="Garamond"/>
          <w:smallCaps/>
          <w:color w:val="000000" w:themeColor="text1"/>
          <w:sz w:val="24"/>
          <w:szCs w:val="24"/>
          <w:u w:val="single"/>
        </w:rPr>
        <w:t>ASTREINTE</w:t>
      </w:r>
    </w:p>
    <w:p w14:paraId="7C2F002B" w14:textId="77777777" w:rsidR="004746BB" w:rsidRDefault="004746BB" w:rsidP="004746BB">
      <w:pPr>
        <w:spacing w:line="252" w:lineRule="auto"/>
        <w:jc w:val="both"/>
        <w:rPr>
          <w:rFonts w:ascii="Garamond" w:hAnsi="Garamond"/>
        </w:rPr>
      </w:pPr>
    </w:p>
    <w:p w14:paraId="322666E3"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0645D049" w14:textId="77777777" w:rsidR="004746BB" w:rsidRDefault="004746BB" w:rsidP="004746BB">
      <w:pPr>
        <w:tabs>
          <w:tab w:val="left" w:pos="6440"/>
        </w:tabs>
        <w:spacing w:line="252" w:lineRule="auto"/>
        <w:jc w:val="both"/>
        <w:rPr>
          <w:rFonts w:ascii="Garamond" w:hAnsi="Garamond"/>
          <w:color w:val="000000" w:themeColor="text1"/>
        </w:rPr>
      </w:pPr>
    </w:p>
    <w:p w14:paraId="05EE066E" w14:textId="40446D00" w:rsidR="004746BB" w:rsidRDefault="004746BB" w:rsidP="004746BB">
      <w:pPr>
        <w:spacing w:line="252" w:lineRule="auto"/>
        <w:jc w:val="both"/>
        <w:rPr>
          <w:rFonts w:ascii="Garamond" w:hAnsi="Garamond"/>
        </w:rPr>
      </w:pPr>
      <w:r w:rsidRPr="004746BB">
        <w:rPr>
          <w:rFonts w:ascii="Garamond" w:hAnsi="Garamond"/>
          <w:b/>
          <w:bCs/>
          <w:u w:val="single"/>
        </w:rPr>
        <w:t>En droit</w:t>
      </w:r>
      <w:r w:rsidRPr="004746BB">
        <w:rPr>
          <w:rFonts w:ascii="Garamond" w:hAnsi="Garamond"/>
        </w:rPr>
        <w:t xml:space="preserve">, </w:t>
      </w:r>
      <w:r>
        <w:rPr>
          <w:rFonts w:ascii="Garamond" w:hAnsi="Garamond"/>
        </w:rPr>
        <w:t>il est rappelé que l</w:t>
      </w:r>
      <w:r w:rsidR="00F86CA7">
        <w:rPr>
          <w:rFonts w:ascii="Garamond" w:hAnsi="Garamond"/>
        </w:rPr>
        <w:t>’</w:t>
      </w:r>
      <w:r>
        <w:rPr>
          <w:rFonts w:ascii="Garamond" w:hAnsi="Garamond"/>
        </w:rPr>
        <w:t>article L. 911-4 du Code de justice administrative prévoit la possibilité, pour le juge de l</w:t>
      </w:r>
      <w:r w:rsidR="00F86CA7">
        <w:rPr>
          <w:rFonts w:ascii="Garamond" w:hAnsi="Garamond"/>
        </w:rPr>
        <w:t>’</w:t>
      </w:r>
      <w:r>
        <w:rPr>
          <w:rFonts w:ascii="Garamond" w:hAnsi="Garamond"/>
        </w:rPr>
        <w:t>exécution, de « </w:t>
      </w:r>
      <w:r w:rsidRPr="004746BB">
        <w:rPr>
          <w:rFonts w:ascii="Garamond" w:hAnsi="Garamond"/>
          <w:i/>
          <w:iCs/>
        </w:rPr>
        <w:t>prononcer une astreinte</w:t>
      </w:r>
      <w:r>
        <w:rPr>
          <w:rFonts w:ascii="Garamond" w:hAnsi="Garamond"/>
        </w:rPr>
        <w:t> » en cas d</w:t>
      </w:r>
      <w:r w:rsidR="00F86CA7">
        <w:rPr>
          <w:rFonts w:ascii="Garamond" w:hAnsi="Garamond"/>
        </w:rPr>
        <w:t>’</w:t>
      </w:r>
      <w:r>
        <w:rPr>
          <w:rFonts w:ascii="Garamond" w:hAnsi="Garamond"/>
        </w:rPr>
        <w:t>inexécution d</w:t>
      </w:r>
      <w:r w:rsidR="00F86CA7">
        <w:rPr>
          <w:rFonts w:ascii="Garamond" w:hAnsi="Garamond"/>
        </w:rPr>
        <w:t>’</w:t>
      </w:r>
      <w:r>
        <w:rPr>
          <w:rFonts w:ascii="Garamond" w:hAnsi="Garamond"/>
        </w:rPr>
        <w:t>un jugement ou d</w:t>
      </w:r>
      <w:r w:rsidR="00F86CA7">
        <w:rPr>
          <w:rFonts w:ascii="Garamond" w:hAnsi="Garamond"/>
        </w:rPr>
        <w:t>’</w:t>
      </w:r>
      <w:r>
        <w:rPr>
          <w:rFonts w:ascii="Garamond" w:hAnsi="Garamond"/>
        </w:rPr>
        <w:t xml:space="preserve">un arrêt.  </w:t>
      </w:r>
    </w:p>
    <w:p w14:paraId="7C52A9E8" w14:textId="77777777" w:rsidR="004746BB" w:rsidRDefault="004746BB" w:rsidP="004746BB">
      <w:pPr>
        <w:spacing w:line="252" w:lineRule="auto"/>
        <w:jc w:val="both"/>
        <w:rPr>
          <w:rFonts w:ascii="Garamond" w:hAnsi="Garamond"/>
        </w:rPr>
      </w:pPr>
    </w:p>
    <w:p w14:paraId="0868C555" w14:textId="3E34C4CB" w:rsidR="004746BB" w:rsidRDefault="004746BB" w:rsidP="004746BB">
      <w:pPr>
        <w:spacing w:line="252" w:lineRule="auto"/>
        <w:jc w:val="both"/>
        <w:rPr>
          <w:rFonts w:ascii="Garamond" w:hAnsi="Garamond"/>
        </w:rPr>
      </w:pPr>
      <w:r>
        <w:rPr>
          <w:rFonts w:ascii="Garamond" w:hAnsi="Garamond"/>
        </w:rPr>
        <w:t>Plus précisément, « </w:t>
      </w:r>
      <w:r w:rsidRPr="004746BB">
        <w:rPr>
          <w:rFonts w:ascii="Garamond" w:hAnsi="Garamond"/>
          <w:i/>
          <w:iCs/>
        </w:rPr>
        <w:t>afin d</w:t>
      </w:r>
      <w:r w:rsidR="00F86CA7">
        <w:rPr>
          <w:rFonts w:ascii="Garamond" w:hAnsi="Garamond"/>
          <w:i/>
          <w:iCs/>
        </w:rPr>
        <w:t>’</w:t>
      </w:r>
      <w:r w:rsidRPr="004746BB">
        <w:rPr>
          <w:rFonts w:ascii="Garamond" w:hAnsi="Garamond"/>
          <w:i/>
          <w:iCs/>
        </w:rPr>
        <w:t>assurer l</w:t>
      </w:r>
      <w:r w:rsidR="00F86CA7">
        <w:rPr>
          <w:rFonts w:ascii="Garamond" w:hAnsi="Garamond"/>
          <w:i/>
          <w:iCs/>
        </w:rPr>
        <w:t>’</w:t>
      </w:r>
      <w:r w:rsidRPr="004746BB">
        <w:rPr>
          <w:rFonts w:ascii="Garamond" w:hAnsi="Garamond"/>
          <w:i/>
          <w:iCs/>
        </w:rPr>
        <w:t>exécution de ses décisions, la juridiction administrative peut prononcer une astreinte à l</w:t>
      </w:r>
      <w:r w:rsidR="00F86CA7">
        <w:rPr>
          <w:rFonts w:ascii="Garamond" w:hAnsi="Garamond"/>
          <w:i/>
          <w:iCs/>
        </w:rPr>
        <w:t>’</w:t>
      </w:r>
      <w:r w:rsidRPr="004746BB">
        <w:rPr>
          <w:rFonts w:ascii="Garamond" w:hAnsi="Garamond"/>
          <w:i/>
          <w:iCs/>
        </w:rPr>
        <w:t>encontre d</w:t>
      </w:r>
      <w:r w:rsidR="00F86CA7">
        <w:rPr>
          <w:rFonts w:ascii="Garamond" w:hAnsi="Garamond"/>
          <w:i/>
          <w:iCs/>
        </w:rPr>
        <w:t>’</w:t>
      </w:r>
      <w:r w:rsidRPr="004746BB">
        <w:rPr>
          <w:rFonts w:ascii="Garamond" w:hAnsi="Garamond"/>
          <w:i/>
          <w:iCs/>
        </w:rPr>
        <w:t>une personne morale de droit public ou d</w:t>
      </w:r>
      <w:r w:rsidR="00F86CA7">
        <w:rPr>
          <w:rFonts w:ascii="Garamond" w:hAnsi="Garamond"/>
          <w:i/>
          <w:iCs/>
        </w:rPr>
        <w:t>’</w:t>
      </w:r>
      <w:r w:rsidRPr="004746BB">
        <w:rPr>
          <w:rFonts w:ascii="Garamond" w:hAnsi="Garamond"/>
          <w:i/>
          <w:iCs/>
        </w:rPr>
        <w:t>un organisme de droit privé chargé de la gestion d</w:t>
      </w:r>
      <w:r w:rsidR="00F86CA7">
        <w:rPr>
          <w:rFonts w:ascii="Garamond" w:hAnsi="Garamond"/>
          <w:i/>
          <w:iCs/>
        </w:rPr>
        <w:t>’</w:t>
      </w:r>
      <w:r w:rsidRPr="004746BB">
        <w:rPr>
          <w:rFonts w:ascii="Garamond" w:hAnsi="Garamond"/>
          <w:i/>
          <w:iCs/>
        </w:rPr>
        <w:t>un service public, soit dans la décision statuant au fond sur les prétentions des parties sur le fondement de l</w:t>
      </w:r>
      <w:r w:rsidR="00F86CA7">
        <w:rPr>
          <w:rFonts w:ascii="Garamond" w:hAnsi="Garamond"/>
          <w:i/>
          <w:iCs/>
        </w:rPr>
        <w:t>’</w:t>
      </w:r>
      <w:r w:rsidRPr="004746BB">
        <w:rPr>
          <w:rFonts w:ascii="Garamond" w:hAnsi="Garamond"/>
          <w:i/>
          <w:iCs/>
        </w:rPr>
        <w:t>article L. 911-3 du code de justice administrative, soit ultérieurement en cas d</w:t>
      </w:r>
      <w:r w:rsidR="00F86CA7">
        <w:rPr>
          <w:rFonts w:ascii="Garamond" w:hAnsi="Garamond"/>
          <w:i/>
          <w:iCs/>
        </w:rPr>
        <w:t>’</w:t>
      </w:r>
      <w:r w:rsidRPr="004746BB">
        <w:rPr>
          <w:rFonts w:ascii="Garamond" w:hAnsi="Garamond"/>
          <w:i/>
          <w:iCs/>
        </w:rPr>
        <w:t>inexécution de la décision sur le fondement des articles L. 911-4 et L. 911-5 du même code</w:t>
      </w:r>
      <w:r>
        <w:rPr>
          <w:rFonts w:ascii="Garamond" w:hAnsi="Garamond"/>
        </w:rPr>
        <w:t> » (</w:t>
      </w:r>
      <w:r w:rsidRPr="00E74829">
        <w:rPr>
          <w:rFonts w:ascii="Garamond" w:hAnsi="Garamond"/>
          <w:color w:val="000000" w:themeColor="text1"/>
        </w:rPr>
        <w:t>CE, Ass</w:t>
      </w:r>
      <w:r>
        <w:rPr>
          <w:rFonts w:ascii="Garamond" w:hAnsi="Garamond"/>
          <w:color w:val="000000" w:themeColor="text1"/>
        </w:rPr>
        <w:t>.</w:t>
      </w:r>
      <w:r w:rsidRPr="00E74829">
        <w:rPr>
          <w:rFonts w:ascii="Garamond" w:hAnsi="Garamond"/>
          <w:color w:val="000000" w:themeColor="text1"/>
        </w:rPr>
        <w:t>, 10</w:t>
      </w:r>
      <w:r>
        <w:rPr>
          <w:rFonts w:ascii="Garamond" w:hAnsi="Garamond"/>
          <w:color w:val="000000" w:themeColor="text1"/>
        </w:rPr>
        <w:t xml:space="preserve"> juillet </w:t>
      </w:r>
      <w:r w:rsidRPr="00E74829">
        <w:rPr>
          <w:rFonts w:ascii="Garamond" w:hAnsi="Garamond"/>
          <w:color w:val="000000" w:themeColor="text1"/>
        </w:rPr>
        <w:t xml:space="preserve">2020, </w:t>
      </w:r>
      <w:r w:rsidRPr="00A33FF0">
        <w:rPr>
          <w:rFonts w:ascii="Garamond" w:hAnsi="Garamond"/>
          <w:i/>
          <w:color w:val="000000" w:themeColor="text1"/>
        </w:rPr>
        <w:t>Association Les Amis de la Terre</w:t>
      </w:r>
      <w:r>
        <w:rPr>
          <w:rFonts w:ascii="Garamond" w:hAnsi="Garamond"/>
          <w:color w:val="000000" w:themeColor="text1"/>
        </w:rPr>
        <w:t>, req. n° </w:t>
      </w:r>
      <w:r w:rsidRPr="00E74829">
        <w:rPr>
          <w:rFonts w:ascii="Garamond" w:hAnsi="Garamond"/>
          <w:color w:val="000000" w:themeColor="text1"/>
        </w:rPr>
        <w:t xml:space="preserve">428409, </w:t>
      </w:r>
      <w:r>
        <w:rPr>
          <w:rFonts w:ascii="Garamond" w:hAnsi="Garamond"/>
          <w:color w:val="000000" w:themeColor="text1"/>
        </w:rPr>
        <w:t>p</w:t>
      </w:r>
      <w:r w:rsidRPr="00E74829">
        <w:rPr>
          <w:rFonts w:ascii="Garamond" w:hAnsi="Garamond"/>
          <w:color w:val="000000" w:themeColor="text1"/>
        </w:rPr>
        <w:t>ublié au recueil Lebon</w:t>
      </w:r>
      <w:r>
        <w:rPr>
          <w:rFonts w:ascii="Garamond" w:hAnsi="Garamond"/>
        </w:rPr>
        <w:t xml:space="preserve">). </w:t>
      </w:r>
    </w:p>
    <w:p w14:paraId="29DF63E5" w14:textId="77777777" w:rsidR="004746BB" w:rsidRDefault="004746BB" w:rsidP="004746BB">
      <w:pPr>
        <w:spacing w:line="252" w:lineRule="auto"/>
        <w:jc w:val="both"/>
        <w:rPr>
          <w:rFonts w:ascii="Garamond" w:hAnsi="Garamond"/>
        </w:rPr>
      </w:pPr>
    </w:p>
    <w:p w14:paraId="52DFEA78" w14:textId="32DAB67B" w:rsidR="004746BB" w:rsidRDefault="004746BB" w:rsidP="004746BB">
      <w:pPr>
        <w:spacing w:line="252" w:lineRule="auto"/>
        <w:jc w:val="both"/>
        <w:rPr>
          <w:rFonts w:ascii="Garamond" w:hAnsi="Garamond"/>
        </w:rPr>
      </w:pPr>
      <w:r>
        <w:rPr>
          <w:rFonts w:ascii="Garamond" w:hAnsi="Garamond"/>
        </w:rPr>
        <w:t>Cette astreinte, dite punitive, poursuit un « </w:t>
      </w:r>
      <w:r w:rsidRPr="004746BB">
        <w:rPr>
          <w:rFonts w:ascii="Garamond" w:hAnsi="Garamond"/>
          <w:i/>
          <w:iCs/>
        </w:rPr>
        <w:t>but comminatoire</w:t>
      </w:r>
      <w:r>
        <w:rPr>
          <w:rFonts w:ascii="Garamond" w:hAnsi="Garamond"/>
        </w:rPr>
        <w:t xml:space="preserve"> » (concl. S. HOYNCK sur CE, </w:t>
      </w:r>
      <w:r w:rsidRPr="00E74829">
        <w:rPr>
          <w:rFonts w:ascii="Garamond" w:hAnsi="Garamond"/>
          <w:color w:val="000000" w:themeColor="text1"/>
        </w:rPr>
        <w:t>Ass</w:t>
      </w:r>
      <w:r>
        <w:rPr>
          <w:rFonts w:ascii="Garamond" w:hAnsi="Garamond"/>
          <w:color w:val="000000" w:themeColor="text1"/>
        </w:rPr>
        <w:t>.</w:t>
      </w:r>
      <w:r w:rsidRPr="00E74829">
        <w:rPr>
          <w:rFonts w:ascii="Garamond" w:hAnsi="Garamond"/>
          <w:color w:val="000000" w:themeColor="text1"/>
        </w:rPr>
        <w:t>, 10</w:t>
      </w:r>
      <w:r>
        <w:rPr>
          <w:rFonts w:ascii="Garamond" w:hAnsi="Garamond"/>
          <w:color w:val="000000" w:themeColor="text1"/>
        </w:rPr>
        <w:t xml:space="preserve"> juillet </w:t>
      </w:r>
      <w:r w:rsidRPr="00E74829">
        <w:rPr>
          <w:rFonts w:ascii="Garamond" w:hAnsi="Garamond"/>
          <w:color w:val="000000" w:themeColor="text1"/>
        </w:rPr>
        <w:t xml:space="preserve">2020, </w:t>
      </w:r>
      <w:r w:rsidRPr="00A33FF0">
        <w:rPr>
          <w:rFonts w:ascii="Garamond" w:hAnsi="Garamond"/>
          <w:i/>
          <w:color w:val="000000" w:themeColor="text1"/>
        </w:rPr>
        <w:t>Association Les Amis de la Terre</w:t>
      </w:r>
      <w:r>
        <w:rPr>
          <w:rFonts w:ascii="Garamond" w:hAnsi="Garamond"/>
          <w:color w:val="000000" w:themeColor="text1"/>
        </w:rPr>
        <w:t>, req. n° </w:t>
      </w:r>
      <w:r w:rsidRPr="00E74829">
        <w:rPr>
          <w:rFonts w:ascii="Garamond" w:hAnsi="Garamond"/>
          <w:color w:val="000000" w:themeColor="text1"/>
        </w:rPr>
        <w:t>428409, Publié au recueil Lebon</w:t>
      </w:r>
      <w:r>
        <w:rPr>
          <w:rFonts w:ascii="Garamond" w:hAnsi="Garamond"/>
        </w:rPr>
        <w:t>). Il s</w:t>
      </w:r>
      <w:r w:rsidR="00F86CA7">
        <w:rPr>
          <w:rFonts w:ascii="Garamond" w:hAnsi="Garamond"/>
        </w:rPr>
        <w:t>’</w:t>
      </w:r>
      <w:r>
        <w:rPr>
          <w:rFonts w:ascii="Garamond" w:hAnsi="Garamond"/>
        </w:rPr>
        <w:t>agit d</w:t>
      </w:r>
      <w:r w:rsidR="00F86CA7">
        <w:rPr>
          <w:rFonts w:ascii="Garamond" w:hAnsi="Garamond"/>
        </w:rPr>
        <w:t>’</w:t>
      </w:r>
      <w:r>
        <w:rPr>
          <w:rFonts w:ascii="Garamond" w:hAnsi="Garamond"/>
        </w:rPr>
        <w:t>une condamnation pécuniaire, ayant « </w:t>
      </w:r>
      <w:r w:rsidRPr="00407164">
        <w:rPr>
          <w:rFonts w:ascii="Garamond" w:hAnsi="Garamond"/>
          <w:i/>
        </w:rPr>
        <w:t>pour objet de contraindre son débiteur à exécuter une décision juridictionnelle</w:t>
      </w:r>
      <w:r>
        <w:rPr>
          <w:rFonts w:ascii="Garamond" w:hAnsi="Garamond"/>
        </w:rPr>
        <w:t> » (concl. X. de LESQUEN sur CE, 6 avril 2016</w:t>
      </w:r>
      <w:r w:rsidRPr="00561580">
        <w:rPr>
          <w:rFonts w:ascii="Garamond" w:hAnsi="Garamond"/>
          <w:i/>
        </w:rPr>
        <w:t>, Société Famille A.</w:t>
      </w:r>
      <w:r>
        <w:rPr>
          <w:rFonts w:ascii="Garamond" w:hAnsi="Garamond"/>
        </w:rPr>
        <w:t>, req. n° 396364), et de « </w:t>
      </w:r>
      <w:r w:rsidRPr="004746BB">
        <w:rPr>
          <w:rFonts w:ascii="Garamond" w:hAnsi="Garamond"/>
          <w:i/>
          <w:iCs/>
        </w:rPr>
        <w:t>parvenir</w:t>
      </w:r>
      <w:r>
        <w:rPr>
          <w:rFonts w:ascii="Garamond" w:hAnsi="Garamond"/>
        </w:rPr>
        <w:t xml:space="preserve"> […]</w:t>
      </w:r>
      <w:r w:rsidRPr="004746BB">
        <w:rPr>
          <w:rFonts w:ascii="Garamond" w:hAnsi="Garamond"/>
        </w:rPr>
        <w:t xml:space="preserve"> </w:t>
      </w:r>
      <w:r w:rsidRPr="004746BB">
        <w:rPr>
          <w:rFonts w:ascii="Garamond" w:hAnsi="Garamond"/>
          <w:i/>
          <w:iCs/>
        </w:rPr>
        <w:t>à une correcte exécution de la chose jugée</w:t>
      </w:r>
      <w:r>
        <w:rPr>
          <w:rFonts w:ascii="Garamond" w:hAnsi="Garamond"/>
        </w:rPr>
        <w:t xml:space="preserve"> » (J. GOURDON et A. GARCIA, « Exécution des décisions de la juridiction administrative » </w:t>
      </w:r>
      <w:r>
        <w:rPr>
          <w:rFonts w:ascii="Garamond" w:hAnsi="Garamond"/>
          <w:i/>
        </w:rPr>
        <w:t>in Répertoire du contentieux administratif</w:t>
      </w:r>
      <w:r>
        <w:rPr>
          <w:rFonts w:ascii="Garamond" w:hAnsi="Garamond"/>
        </w:rPr>
        <w:t>, Dalloz, 2018, § 167).</w:t>
      </w:r>
    </w:p>
    <w:p w14:paraId="7332D2A2" w14:textId="77777777" w:rsidR="004746BB" w:rsidRPr="00407164" w:rsidRDefault="004746BB" w:rsidP="004746BB">
      <w:pPr>
        <w:spacing w:line="252" w:lineRule="auto"/>
        <w:jc w:val="both"/>
        <w:rPr>
          <w:rFonts w:ascii="Garamond" w:hAnsi="Garamond"/>
        </w:rPr>
      </w:pPr>
    </w:p>
    <w:p w14:paraId="7FC79745" w14:textId="77777777" w:rsidR="004746BB" w:rsidRPr="00E5734D" w:rsidRDefault="004746BB" w:rsidP="004746BB">
      <w:pPr>
        <w:numPr>
          <w:ilvl w:val="0"/>
          <w:numId w:val="1"/>
        </w:numPr>
        <w:spacing w:line="252" w:lineRule="auto"/>
        <w:ind w:left="0" w:firstLine="0"/>
        <w:jc w:val="both"/>
        <w:rPr>
          <w:rFonts w:ascii="Garamond" w:hAnsi="Garamond"/>
          <w:color w:val="000000" w:themeColor="text1"/>
        </w:rPr>
      </w:pPr>
    </w:p>
    <w:p w14:paraId="27032D2D" w14:textId="77777777" w:rsidR="004746BB" w:rsidRDefault="004746BB" w:rsidP="004746BB">
      <w:pPr>
        <w:spacing w:line="252" w:lineRule="auto"/>
        <w:jc w:val="both"/>
        <w:rPr>
          <w:rFonts w:ascii="Garamond" w:hAnsi="Garamond"/>
        </w:rPr>
      </w:pPr>
    </w:p>
    <w:p w14:paraId="4149EF58" w14:textId="03C554B5" w:rsidR="004746BB" w:rsidRDefault="004746BB" w:rsidP="004746BB">
      <w:pPr>
        <w:spacing w:line="252" w:lineRule="auto"/>
        <w:jc w:val="both"/>
        <w:rPr>
          <w:rFonts w:ascii="Garamond" w:hAnsi="Garamond"/>
          <w:color w:val="000000" w:themeColor="text1"/>
        </w:rPr>
      </w:pPr>
      <w:r>
        <w:rPr>
          <w:rFonts w:ascii="Garamond" w:hAnsi="Garamond"/>
        </w:rPr>
        <w:t>Dans ce cadre, pour apprécier l</w:t>
      </w:r>
      <w:r w:rsidR="00F86CA7">
        <w:rPr>
          <w:rFonts w:ascii="Garamond" w:hAnsi="Garamond"/>
        </w:rPr>
        <w:t>’</w:t>
      </w:r>
      <w:r>
        <w:rPr>
          <w:rFonts w:ascii="Garamond" w:hAnsi="Garamond"/>
        </w:rPr>
        <w:t>opportunité de prononcer une astreinte, il appartient notamment au juge de l</w:t>
      </w:r>
      <w:r w:rsidR="00F86CA7">
        <w:rPr>
          <w:rFonts w:ascii="Garamond" w:hAnsi="Garamond"/>
        </w:rPr>
        <w:t>’</w:t>
      </w:r>
      <w:r>
        <w:rPr>
          <w:rFonts w:ascii="Garamond" w:hAnsi="Garamond"/>
        </w:rPr>
        <w:t>exécution de prendre en considération « </w:t>
      </w:r>
      <w:r w:rsidRPr="004746BB">
        <w:rPr>
          <w:rFonts w:ascii="Garamond" w:hAnsi="Garamond"/>
          <w:i/>
          <w:iCs/>
        </w:rPr>
        <w:t>le comportement de l</w:t>
      </w:r>
      <w:r w:rsidR="00F86CA7">
        <w:rPr>
          <w:rFonts w:ascii="Garamond" w:hAnsi="Garamond"/>
          <w:i/>
          <w:iCs/>
        </w:rPr>
        <w:t>’</w:t>
      </w:r>
      <w:r w:rsidRPr="004746BB">
        <w:rPr>
          <w:rFonts w:ascii="Garamond" w:hAnsi="Garamond"/>
          <w:i/>
          <w:iCs/>
        </w:rPr>
        <w:t>Administration à la suite de la décision juridictionnelle dont l</w:t>
      </w:r>
      <w:r w:rsidR="00F86CA7">
        <w:rPr>
          <w:rFonts w:ascii="Garamond" w:hAnsi="Garamond"/>
          <w:i/>
          <w:iCs/>
        </w:rPr>
        <w:t>’</w:t>
      </w:r>
      <w:r w:rsidRPr="004746BB">
        <w:rPr>
          <w:rFonts w:ascii="Garamond" w:hAnsi="Garamond"/>
          <w:i/>
          <w:iCs/>
        </w:rPr>
        <w:t xml:space="preserve">exécution est poursuivie, et de rechercher la meilleure façon de parvenir à cette entière </w:t>
      </w:r>
      <w:r w:rsidRPr="004746BB">
        <w:rPr>
          <w:rFonts w:ascii="Garamond" w:hAnsi="Garamond"/>
          <w:i/>
          <w:iCs/>
        </w:rPr>
        <w:lastRenderedPageBreak/>
        <w:t>exécution</w:t>
      </w:r>
      <w:r>
        <w:rPr>
          <w:rFonts w:ascii="Garamond" w:hAnsi="Garamond"/>
        </w:rPr>
        <w:t xml:space="preserve"> » (concl. S. HOYNCK sur CE, </w:t>
      </w:r>
      <w:r>
        <w:rPr>
          <w:rFonts w:ascii="Garamond" w:hAnsi="Garamond"/>
          <w:color w:val="000000" w:themeColor="text1"/>
        </w:rPr>
        <w:t xml:space="preserve">10 mai 2023, </w:t>
      </w:r>
      <w:r w:rsidRPr="00A76C93">
        <w:rPr>
          <w:rFonts w:ascii="Garamond" w:hAnsi="Garamond"/>
          <w:i/>
          <w:iCs/>
          <w:color w:val="000000" w:themeColor="text1"/>
        </w:rPr>
        <w:t>Commune de Grande-Synthe et autres</w:t>
      </w:r>
      <w:r>
        <w:rPr>
          <w:rFonts w:ascii="Garamond" w:hAnsi="Garamond"/>
          <w:color w:val="000000" w:themeColor="text1"/>
        </w:rPr>
        <w:t>, req. n° </w:t>
      </w:r>
      <w:r w:rsidRPr="00A76C93">
        <w:rPr>
          <w:rFonts w:ascii="Garamond" w:hAnsi="Garamond"/>
          <w:color w:val="000000" w:themeColor="text1"/>
        </w:rPr>
        <w:t>467982</w:t>
      </w:r>
      <w:r>
        <w:rPr>
          <w:rFonts w:ascii="Garamond" w:hAnsi="Garamond"/>
          <w:color w:val="000000" w:themeColor="text1"/>
        </w:rPr>
        <w:t xml:space="preserve">, publié au recueil Lebon). </w:t>
      </w:r>
    </w:p>
    <w:p w14:paraId="021C0360" w14:textId="77777777" w:rsidR="004746BB" w:rsidRDefault="004746BB" w:rsidP="004746BB">
      <w:pPr>
        <w:spacing w:line="252" w:lineRule="auto"/>
        <w:jc w:val="both"/>
        <w:rPr>
          <w:rFonts w:ascii="Garamond" w:hAnsi="Garamond"/>
          <w:color w:val="000000" w:themeColor="text1"/>
        </w:rPr>
      </w:pPr>
    </w:p>
    <w:p w14:paraId="511B83A8" w14:textId="0B3F7995" w:rsidR="004746BB" w:rsidRDefault="004746BB" w:rsidP="004746BB">
      <w:pPr>
        <w:spacing w:line="252" w:lineRule="auto"/>
        <w:jc w:val="both"/>
        <w:rPr>
          <w:rFonts w:ascii="Garamond" w:hAnsi="Garamond"/>
        </w:rPr>
      </w:pPr>
      <w:r>
        <w:rPr>
          <w:rFonts w:ascii="Garamond" w:hAnsi="Garamond"/>
          <w:color w:val="000000" w:themeColor="text1"/>
        </w:rPr>
        <w:t xml:space="preserve">Ainsi, </w:t>
      </w:r>
      <w:r>
        <w:rPr>
          <w:rFonts w:ascii="Garamond" w:hAnsi="Garamond"/>
        </w:rPr>
        <w:t>le c</w:t>
      </w:r>
      <w:r w:rsidRPr="00A636AE">
        <w:rPr>
          <w:rFonts w:ascii="Garamond" w:hAnsi="Garamond"/>
        </w:rPr>
        <w:t>omportement de l</w:t>
      </w:r>
      <w:r w:rsidR="00F86CA7">
        <w:rPr>
          <w:rFonts w:ascii="Garamond" w:hAnsi="Garamond"/>
        </w:rPr>
        <w:t>’</w:t>
      </w:r>
      <w:r w:rsidRPr="00A636AE">
        <w:rPr>
          <w:rFonts w:ascii="Garamond" w:hAnsi="Garamond"/>
        </w:rPr>
        <w:t>administration, qui persiste à méconnaître ses obligations</w:t>
      </w:r>
      <w:r>
        <w:rPr>
          <w:rFonts w:ascii="Garamond" w:hAnsi="Garamond"/>
        </w:rPr>
        <w:t>, ou s</w:t>
      </w:r>
      <w:r w:rsidR="00F86CA7">
        <w:rPr>
          <w:rFonts w:ascii="Garamond" w:hAnsi="Garamond"/>
        </w:rPr>
        <w:t>’</w:t>
      </w:r>
      <w:r>
        <w:rPr>
          <w:rFonts w:ascii="Garamond" w:hAnsi="Garamond"/>
        </w:rPr>
        <w:t>abstient d</w:t>
      </w:r>
      <w:r w:rsidR="00F86CA7">
        <w:rPr>
          <w:rFonts w:ascii="Garamond" w:hAnsi="Garamond"/>
        </w:rPr>
        <w:t>’</w:t>
      </w:r>
      <w:r>
        <w:rPr>
          <w:rFonts w:ascii="Garamond" w:hAnsi="Garamond"/>
        </w:rPr>
        <w:t>agir de façon prolongée, justifie qu</w:t>
      </w:r>
      <w:r w:rsidR="00F86CA7">
        <w:rPr>
          <w:rFonts w:ascii="Garamond" w:hAnsi="Garamond"/>
        </w:rPr>
        <w:t>’</w:t>
      </w:r>
      <w:r>
        <w:rPr>
          <w:rFonts w:ascii="Garamond" w:hAnsi="Garamond"/>
        </w:rPr>
        <w:t xml:space="preserve">une astreinte soit prononcée à son encontre (en ce sens : CE, 18 octobre 1996, </w:t>
      </w:r>
      <w:r w:rsidRPr="004746BB">
        <w:rPr>
          <w:rFonts w:ascii="Garamond" w:hAnsi="Garamond"/>
          <w:i/>
          <w:iCs/>
        </w:rPr>
        <w:t>Mme Marcelle X.</w:t>
      </w:r>
      <w:r>
        <w:rPr>
          <w:rFonts w:ascii="Garamond" w:hAnsi="Garamond"/>
        </w:rPr>
        <w:t xml:space="preserve">, req. n° 121638 ; </w:t>
      </w:r>
      <w:r w:rsidRPr="004746BB">
        <w:rPr>
          <w:rFonts w:ascii="Garamond" w:hAnsi="Garamond"/>
        </w:rPr>
        <w:t xml:space="preserve">CE 13 juin 1997, </w:t>
      </w:r>
      <w:r w:rsidRPr="004746BB">
        <w:rPr>
          <w:rFonts w:ascii="Garamond" w:hAnsi="Garamond"/>
          <w:i/>
          <w:iCs/>
        </w:rPr>
        <w:t>Fédération des familles de France</w:t>
      </w:r>
      <w:r w:rsidRPr="004746BB">
        <w:rPr>
          <w:rFonts w:ascii="Garamond" w:hAnsi="Garamond"/>
        </w:rPr>
        <w:t>, req. n</w:t>
      </w:r>
      <w:r>
        <w:rPr>
          <w:rFonts w:ascii="Garamond" w:hAnsi="Garamond"/>
        </w:rPr>
        <w:t>° </w:t>
      </w:r>
      <w:r w:rsidRPr="004746BB">
        <w:rPr>
          <w:rFonts w:ascii="Garamond" w:hAnsi="Garamond"/>
        </w:rPr>
        <w:t>180419</w:t>
      </w:r>
      <w:r>
        <w:rPr>
          <w:rFonts w:ascii="Garamond" w:hAnsi="Garamond"/>
        </w:rPr>
        <w:t xml:space="preserve"> ; CE, 8 décembre 2000, </w:t>
      </w:r>
      <w:r w:rsidRPr="004746BB">
        <w:rPr>
          <w:rFonts w:ascii="Garamond" w:hAnsi="Garamond"/>
          <w:i/>
          <w:iCs/>
        </w:rPr>
        <w:t>Association syndicale des cadres supérieurs et ingénieurs aux télécommunications</w:t>
      </w:r>
      <w:r>
        <w:rPr>
          <w:rFonts w:ascii="Garamond" w:hAnsi="Garamond"/>
        </w:rPr>
        <w:t xml:space="preserve">, req. n° 217006). </w:t>
      </w:r>
    </w:p>
    <w:p w14:paraId="7F68DF0F" w14:textId="77777777" w:rsidR="004746BB" w:rsidRDefault="004746BB" w:rsidP="004746BB">
      <w:pPr>
        <w:spacing w:line="252" w:lineRule="auto"/>
        <w:jc w:val="both"/>
        <w:rPr>
          <w:rFonts w:ascii="Garamond" w:hAnsi="Garamond"/>
        </w:rPr>
      </w:pPr>
    </w:p>
    <w:p w14:paraId="075D70F0" w14:textId="66BB1C6C" w:rsidR="004746BB" w:rsidRDefault="004746BB" w:rsidP="004746BB">
      <w:pPr>
        <w:spacing w:line="252" w:lineRule="auto"/>
        <w:jc w:val="both"/>
        <w:rPr>
          <w:rFonts w:ascii="Garamond" w:hAnsi="Garamond"/>
        </w:rPr>
      </w:pPr>
      <w:r>
        <w:rPr>
          <w:rFonts w:ascii="Garamond" w:hAnsi="Garamond"/>
        </w:rPr>
        <w:t>De même, lorsqu</w:t>
      </w:r>
      <w:r w:rsidR="00F86CA7">
        <w:rPr>
          <w:rFonts w:ascii="Garamond" w:hAnsi="Garamond"/>
        </w:rPr>
        <w:t>’</w:t>
      </w:r>
      <w:r>
        <w:rPr>
          <w:rFonts w:ascii="Garamond" w:hAnsi="Garamond"/>
        </w:rPr>
        <w:t>il apparaît que</w:t>
      </w:r>
      <w:r w:rsidRPr="004746BB">
        <w:rPr>
          <w:rFonts w:ascii="Garamond" w:hAnsi="Garamond"/>
        </w:rPr>
        <w:t xml:space="preserve"> l</w:t>
      </w:r>
      <w:r w:rsidR="00F86CA7">
        <w:rPr>
          <w:rFonts w:ascii="Garamond" w:hAnsi="Garamond"/>
        </w:rPr>
        <w:t>’</w:t>
      </w:r>
      <w:r w:rsidRPr="004746BB">
        <w:rPr>
          <w:rFonts w:ascii="Garamond" w:hAnsi="Garamond"/>
        </w:rPr>
        <w:t>administration souhaite se satisfaire d</w:t>
      </w:r>
      <w:r w:rsidR="00F86CA7">
        <w:rPr>
          <w:rFonts w:ascii="Garamond" w:hAnsi="Garamond"/>
        </w:rPr>
        <w:t>’</w:t>
      </w:r>
      <w:r w:rsidRPr="004746BB">
        <w:rPr>
          <w:rFonts w:ascii="Garamond" w:hAnsi="Garamond"/>
        </w:rPr>
        <w:t xml:space="preserve">une exécution </w:t>
      </w:r>
      <w:r>
        <w:rPr>
          <w:rFonts w:ascii="Garamond" w:hAnsi="Garamond"/>
        </w:rPr>
        <w:t xml:space="preserve">simplement </w:t>
      </w:r>
      <w:r w:rsidRPr="004746BB">
        <w:rPr>
          <w:rFonts w:ascii="Garamond" w:hAnsi="Garamond"/>
        </w:rPr>
        <w:t>partielle de ses obligations</w:t>
      </w:r>
      <w:r>
        <w:rPr>
          <w:rFonts w:ascii="Garamond" w:hAnsi="Garamond"/>
        </w:rPr>
        <w:t xml:space="preserve">, le juge peut </w:t>
      </w:r>
      <w:r w:rsidRPr="004746BB">
        <w:rPr>
          <w:rFonts w:ascii="Garamond" w:hAnsi="Garamond"/>
        </w:rPr>
        <w:t xml:space="preserve">prononcer </w:t>
      </w:r>
      <w:r>
        <w:rPr>
          <w:rFonts w:ascii="Garamond" w:hAnsi="Garamond"/>
        </w:rPr>
        <w:t xml:space="preserve">une </w:t>
      </w:r>
      <w:r w:rsidRPr="004746BB">
        <w:rPr>
          <w:rFonts w:ascii="Garamond" w:hAnsi="Garamond"/>
        </w:rPr>
        <w:t>astreinte</w:t>
      </w:r>
      <w:r>
        <w:rPr>
          <w:rFonts w:ascii="Garamond" w:hAnsi="Garamond"/>
        </w:rPr>
        <w:t>, « </w:t>
      </w:r>
      <w:r w:rsidRPr="004746BB">
        <w:rPr>
          <w:rFonts w:ascii="Garamond" w:hAnsi="Garamond"/>
          <w:i/>
          <w:iCs/>
        </w:rPr>
        <w:t>dans la mesure où seul ce procédé permet de contraindre l</w:t>
      </w:r>
      <w:r w:rsidR="00F86CA7">
        <w:rPr>
          <w:rFonts w:ascii="Garamond" w:hAnsi="Garamond"/>
          <w:i/>
          <w:iCs/>
        </w:rPr>
        <w:t>’</w:t>
      </w:r>
      <w:r w:rsidRPr="004746BB">
        <w:rPr>
          <w:rFonts w:ascii="Garamond" w:hAnsi="Garamond"/>
          <w:i/>
          <w:iCs/>
        </w:rPr>
        <w:t>autorité administrative à obéir pleinement à la chose jugée</w:t>
      </w:r>
      <w:r>
        <w:rPr>
          <w:rFonts w:ascii="Garamond" w:hAnsi="Garamond"/>
        </w:rPr>
        <w:t xml:space="preserve"> » (J. GOURDON et A. GARCIA, « Exécution des décisions de la juridiction administrative » </w:t>
      </w:r>
      <w:r>
        <w:rPr>
          <w:rFonts w:ascii="Garamond" w:hAnsi="Garamond"/>
          <w:i/>
        </w:rPr>
        <w:t>in Répertoire du contentieux administratif</w:t>
      </w:r>
      <w:r>
        <w:rPr>
          <w:rFonts w:ascii="Garamond" w:hAnsi="Garamond"/>
        </w:rPr>
        <w:t xml:space="preserve">, Dalloz, 2018, § 174 ; voir également : </w:t>
      </w:r>
      <w:r w:rsidRPr="004746BB">
        <w:rPr>
          <w:rFonts w:ascii="Garamond" w:hAnsi="Garamond"/>
        </w:rPr>
        <w:t>CE</w:t>
      </w:r>
      <w:r>
        <w:rPr>
          <w:rFonts w:ascii="Garamond" w:hAnsi="Garamond"/>
        </w:rPr>
        <w:t>,</w:t>
      </w:r>
      <w:r w:rsidRPr="004746BB">
        <w:rPr>
          <w:rFonts w:ascii="Garamond" w:hAnsi="Garamond"/>
        </w:rPr>
        <w:t xml:space="preserve"> 15 oct</w:t>
      </w:r>
      <w:r>
        <w:rPr>
          <w:rFonts w:ascii="Garamond" w:hAnsi="Garamond"/>
        </w:rPr>
        <w:t>obre</w:t>
      </w:r>
      <w:r w:rsidRPr="004746BB">
        <w:rPr>
          <w:rFonts w:ascii="Garamond" w:hAnsi="Garamond"/>
        </w:rPr>
        <w:t xml:space="preserve"> 1986, </w:t>
      </w:r>
      <w:r w:rsidRPr="004746BB">
        <w:rPr>
          <w:rFonts w:ascii="Garamond" w:hAnsi="Garamond"/>
          <w:i/>
          <w:iCs/>
        </w:rPr>
        <w:t>Leroux</w:t>
      </w:r>
      <w:r w:rsidRPr="004746BB">
        <w:rPr>
          <w:rFonts w:ascii="Garamond" w:hAnsi="Garamond"/>
        </w:rPr>
        <w:t xml:space="preserve">, </w:t>
      </w:r>
      <w:r>
        <w:rPr>
          <w:rFonts w:ascii="Garamond" w:hAnsi="Garamond"/>
        </w:rPr>
        <w:t>Rec. p. </w:t>
      </w:r>
      <w:r w:rsidRPr="004746BB">
        <w:rPr>
          <w:rFonts w:ascii="Garamond" w:hAnsi="Garamond"/>
        </w:rPr>
        <w:t>231</w:t>
      </w:r>
      <w:r>
        <w:rPr>
          <w:rFonts w:ascii="Garamond" w:hAnsi="Garamond"/>
        </w:rPr>
        <w:t xml:space="preserve"> ; CE, </w:t>
      </w:r>
      <w:r w:rsidRPr="004746BB">
        <w:rPr>
          <w:rFonts w:ascii="Garamond" w:hAnsi="Garamond"/>
        </w:rPr>
        <w:t xml:space="preserve">16 juin 1997, </w:t>
      </w:r>
      <w:r w:rsidRPr="004746BB">
        <w:rPr>
          <w:rFonts w:ascii="Garamond" w:hAnsi="Garamond"/>
          <w:i/>
          <w:iCs/>
        </w:rPr>
        <w:t>Vialas</w:t>
      </w:r>
      <w:r w:rsidRPr="004746BB">
        <w:rPr>
          <w:rFonts w:ascii="Garamond" w:hAnsi="Garamond"/>
        </w:rPr>
        <w:t xml:space="preserve">, </w:t>
      </w:r>
      <w:r>
        <w:rPr>
          <w:rFonts w:ascii="Garamond" w:hAnsi="Garamond"/>
        </w:rPr>
        <w:t>req. n° </w:t>
      </w:r>
      <w:r w:rsidRPr="004746BB">
        <w:rPr>
          <w:rFonts w:ascii="Garamond" w:hAnsi="Garamond"/>
        </w:rPr>
        <w:t>169023</w:t>
      </w:r>
      <w:r>
        <w:rPr>
          <w:rFonts w:ascii="Garamond" w:hAnsi="Garamond"/>
        </w:rPr>
        <w:t>, Rec. T. p. </w:t>
      </w:r>
      <w:r w:rsidRPr="004746BB">
        <w:rPr>
          <w:rFonts w:ascii="Garamond" w:hAnsi="Garamond"/>
        </w:rPr>
        <w:t>1022</w:t>
      </w:r>
      <w:r>
        <w:rPr>
          <w:rFonts w:ascii="Garamond" w:hAnsi="Garamond"/>
        </w:rPr>
        <w:t xml:space="preserve"> ; CE, 23 juillet 2003, </w:t>
      </w:r>
      <w:r>
        <w:rPr>
          <w:rFonts w:ascii="Garamond" w:hAnsi="Garamond"/>
          <w:i/>
          <w:iCs/>
        </w:rPr>
        <w:t>M. Bernard X.</w:t>
      </w:r>
      <w:r>
        <w:rPr>
          <w:rFonts w:ascii="Garamond" w:hAnsi="Garamond"/>
        </w:rPr>
        <w:t>, req. n° </w:t>
      </w:r>
      <w:r w:rsidRPr="004746BB">
        <w:rPr>
          <w:rFonts w:ascii="Garamond" w:hAnsi="Garamond"/>
        </w:rPr>
        <w:t>251325</w:t>
      </w:r>
      <w:r>
        <w:rPr>
          <w:rFonts w:ascii="Garamond" w:hAnsi="Garamond"/>
        </w:rPr>
        <w:t xml:space="preserve">). </w:t>
      </w:r>
    </w:p>
    <w:p w14:paraId="1212D9C7" w14:textId="77777777" w:rsidR="004746BB" w:rsidRDefault="004746BB" w:rsidP="004746BB">
      <w:pPr>
        <w:spacing w:line="252" w:lineRule="auto"/>
        <w:jc w:val="both"/>
        <w:rPr>
          <w:rFonts w:ascii="Garamond" w:hAnsi="Garamond"/>
        </w:rPr>
      </w:pPr>
    </w:p>
    <w:p w14:paraId="344A70AB" w14:textId="46B88F14" w:rsidR="004746BB" w:rsidRDefault="004746BB" w:rsidP="004746BB">
      <w:pPr>
        <w:spacing w:line="252" w:lineRule="auto"/>
        <w:jc w:val="both"/>
        <w:rPr>
          <w:rFonts w:ascii="Garamond" w:hAnsi="Garamond"/>
          <w:color w:val="000000" w:themeColor="text1"/>
        </w:rPr>
      </w:pPr>
      <w:r>
        <w:rPr>
          <w:rFonts w:ascii="Garamond" w:hAnsi="Garamond"/>
        </w:rPr>
        <w:t>Plus largement, le juge de l</w:t>
      </w:r>
      <w:r w:rsidR="00F86CA7">
        <w:rPr>
          <w:rFonts w:ascii="Garamond" w:hAnsi="Garamond"/>
        </w:rPr>
        <w:t>’</w:t>
      </w:r>
      <w:r>
        <w:rPr>
          <w:rFonts w:ascii="Garamond" w:hAnsi="Garamond"/>
        </w:rPr>
        <w:t>exécution peut également tenir compte d</w:t>
      </w:r>
      <w:r w:rsidR="00F86CA7">
        <w:rPr>
          <w:rFonts w:ascii="Garamond" w:hAnsi="Garamond"/>
        </w:rPr>
        <w:t>’</w:t>
      </w:r>
      <w:r>
        <w:rPr>
          <w:rFonts w:ascii="Garamond" w:hAnsi="Garamond"/>
        </w:rPr>
        <w:t>autres critères, tels que le « </w:t>
      </w:r>
      <w:r w:rsidRPr="004746BB">
        <w:rPr>
          <w:rFonts w:ascii="Garamond" w:hAnsi="Garamond"/>
          <w:i/>
          <w:iCs/>
        </w:rPr>
        <w:t>délai écoulé depuis l</w:t>
      </w:r>
      <w:r w:rsidR="00F86CA7">
        <w:rPr>
          <w:rFonts w:ascii="Garamond" w:hAnsi="Garamond"/>
          <w:i/>
          <w:iCs/>
        </w:rPr>
        <w:t>’</w:t>
      </w:r>
      <w:r w:rsidRPr="004746BB">
        <w:rPr>
          <w:rFonts w:ascii="Garamond" w:hAnsi="Garamond"/>
          <w:i/>
          <w:iCs/>
        </w:rPr>
        <w:t>intervention de la décision dont l</w:t>
      </w:r>
      <w:r w:rsidR="00F86CA7">
        <w:rPr>
          <w:rFonts w:ascii="Garamond" w:hAnsi="Garamond"/>
          <w:i/>
          <w:iCs/>
        </w:rPr>
        <w:t>’</w:t>
      </w:r>
      <w:r w:rsidRPr="004746BB">
        <w:rPr>
          <w:rFonts w:ascii="Garamond" w:hAnsi="Garamond"/>
          <w:i/>
          <w:iCs/>
        </w:rPr>
        <w:t>exécution est demandée</w:t>
      </w:r>
      <w:r>
        <w:rPr>
          <w:rFonts w:ascii="Garamond" w:hAnsi="Garamond"/>
        </w:rPr>
        <w:t> », « </w:t>
      </w:r>
      <w:r w:rsidRPr="004746BB">
        <w:rPr>
          <w:rFonts w:ascii="Garamond" w:hAnsi="Garamond"/>
          <w:i/>
          <w:iCs/>
        </w:rPr>
        <w:t>l</w:t>
      </w:r>
      <w:r w:rsidR="00F86CA7">
        <w:rPr>
          <w:rFonts w:ascii="Garamond" w:hAnsi="Garamond"/>
          <w:i/>
          <w:iCs/>
        </w:rPr>
        <w:t>’</w:t>
      </w:r>
      <w:r w:rsidRPr="004746BB">
        <w:rPr>
          <w:rFonts w:ascii="Garamond" w:hAnsi="Garamond"/>
          <w:i/>
          <w:iCs/>
        </w:rPr>
        <w:t>importance qui s</w:t>
      </w:r>
      <w:r w:rsidR="00F86CA7">
        <w:rPr>
          <w:rFonts w:ascii="Garamond" w:hAnsi="Garamond"/>
          <w:i/>
          <w:iCs/>
        </w:rPr>
        <w:t>’</w:t>
      </w:r>
      <w:r w:rsidRPr="004746BB">
        <w:rPr>
          <w:rFonts w:ascii="Garamond" w:hAnsi="Garamond"/>
          <w:i/>
          <w:iCs/>
        </w:rPr>
        <w:t>attache au respect effectif des exigences</w:t>
      </w:r>
      <w:r>
        <w:rPr>
          <w:rFonts w:ascii="Garamond" w:hAnsi="Garamond"/>
        </w:rPr>
        <w:t> » législatives et réglementaires en cause, « </w:t>
      </w:r>
      <w:r w:rsidRPr="004746BB">
        <w:rPr>
          <w:rFonts w:ascii="Garamond" w:hAnsi="Garamond"/>
          <w:i/>
          <w:iCs/>
        </w:rPr>
        <w:t>la gravité des conséquences du défaut partiel d</w:t>
      </w:r>
      <w:r w:rsidR="00F86CA7">
        <w:rPr>
          <w:rFonts w:ascii="Garamond" w:hAnsi="Garamond"/>
          <w:i/>
          <w:iCs/>
        </w:rPr>
        <w:t>’</w:t>
      </w:r>
      <w:r w:rsidRPr="004746BB">
        <w:rPr>
          <w:rFonts w:ascii="Garamond" w:hAnsi="Garamond"/>
          <w:i/>
          <w:iCs/>
        </w:rPr>
        <w:t>exécution</w:t>
      </w:r>
      <w:r>
        <w:rPr>
          <w:rFonts w:ascii="Garamond" w:hAnsi="Garamond"/>
        </w:rPr>
        <w:t> » ou « </w:t>
      </w:r>
      <w:r w:rsidRPr="004746BB">
        <w:rPr>
          <w:rFonts w:ascii="Garamond" w:hAnsi="Garamond"/>
          <w:i/>
          <w:iCs/>
        </w:rPr>
        <w:t>l</w:t>
      </w:r>
      <w:r w:rsidR="00F86CA7">
        <w:rPr>
          <w:rFonts w:ascii="Garamond" w:hAnsi="Garamond"/>
          <w:i/>
          <w:iCs/>
        </w:rPr>
        <w:t>’</w:t>
      </w:r>
      <w:r w:rsidRPr="004746BB">
        <w:rPr>
          <w:rFonts w:ascii="Garamond" w:hAnsi="Garamond"/>
          <w:i/>
          <w:iCs/>
        </w:rPr>
        <w:t>urgence particulière qui en découle</w:t>
      </w:r>
      <w:r>
        <w:rPr>
          <w:rFonts w:ascii="Garamond" w:hAnsi="Garamond"/>
        </w:rPr>
        <w:t xml:space="preserve"> » (CE, </w:t>
      </w:r>
      <w:r w:rsidRPr="00E74829">
        <w:rPr>
          <w:rFonts w:ascii="Garamond" w:hAnsi="Garamond"/>
          <w:color w:val="000000" w:themeColor="text1"/>
        </w:rPr>
        <w:t>Ass</w:t>
      </w:r>
      <w:r>
        <w:rPr>
          <w:rFonts w:ascii="Garamond" w:hAnsi="Garamond"/>
          <w:color w:val="000000" w:themeColor="text1"/>
        </w:rPr>
        <w:t>.</w:t>
      </w:r>
      <w:r w:rsidRPr="00E74829">
        <w:rPr>
          <w:rFonts w:ascii="Garamond" w:hAnsi="Garamond"/>
          <w:color w:val="000000" w:themeColor="text1"/>
        </w:rPr>
        <w:t>, 10</w:t>
      </w:r>
      <w:r>
        <w:rPr>
          <w:rFonts w:ascii="Garamond" w:hAnsi="Garamond"/>
          <w:color w:val="000000" w:themeColor="text1"/>
        </w:rPr>
        <w:t xml:space="preserve"> juillet </w:t>
      </w:r>
      <w:r w:rsidRPr="00E74829">
        <w:rPr>
          <w:rFonts w:ascii="Garamond" w:hAnsi="Garamond"/>
          <w:color w:val="000000" w:themeColor="text1"/>
        </w:rPr>
        <w:t xml:space="preserve">2020, </w:t>
      </w:r>
      <w:r w:rsidRPr="00A33FF0">
        <w:rPr>
          <w:rFonts w:ascii="Garamond" w:hAnsi="Garamond"/>
          <w:i/>
          <w:color w:val="000000" w:themeColor="text1"/>
        </w:rPr>
        <w:t>Association Les Amis de la Terre</w:t>
      </w:r>
      <w:r>
        <w:rPr>
          <w:rFonts w:ascii="Garamond" w:hAnsi="Garamond"/>
          <w:color w:val="000000" w:themeColor="text1"/>
        </w:rPr>
        <w:t>, req. n° </w:t>
      </w:r>
      <w:r w:rsidRPr="00E74829">
        <w:rPr>
          <w:rFonts w:ascii="Garamond" w:hAnsi="Garamond"/>
          <w:color w:val="000000" w:themeColor="text1"/>
        </w:rPr>
        <w:t xml:space="preserve">428409, </w:t>
      </w:r>
      <w:r>
        <w:rPr>
          <w:rFonts w:ascii="Garamond" w:hAnsi="Garamond"/>
          <w:color w:val="000000" w:themeColor="text1"/>
        </w:rPr>
        <w:t>p</w:t>
      </w:r>
      <w:r w:rsidRPr="00E74829">
        <w:rPr>
          <w:rFonts w:ascii="Garamond" w:hAnsi="Garamond"/>
          <w:color w:val="000000" w:themeColor="text1"/>
        </w:rPr>
        <w:t>ublié au recueil Lebon</w:t>
      </w:r>
      <w:r>
        <w:rPr>
          <w:rFonts w:ascii="Garamond" w:hAnsi="Garamond"/>
          <w:color w:val="000000" w:themeColor="text1"/>
        </w:rPr>
        <w:t>).</w:t>
      </w:r>
    </w:p>
    <w:p w14:paraId="27969DB9" w14:textId="77777777" w:rsidR="004746BB" w:rsidRPr="00407164" w:rsidRDefault="004746BB" w:rsidP="004746BB">
      <w:pPr>
        <w:spacing w:line="252" w:lineRule="auto"/>
        <w:jc w:val="both"/>
        <w:rPr>
          <w:rFonts w:ascii="Garamond" w:hAnsi="Garamond"/>
        </w:rPr>
      </w:pPr>
    </w:p>
    <w:p w14:paraId="582D85F1" w14:textId="77777777" w:rsidR="004746BB" w:rsidRPr="00E5734D" w:rsidRDefault="004746BB" w:rsidP="004746BB">
      <w:pPr>
        <w:numPr>
          <w:ilvl w:val="0"/>
          <w:numId w:val="1"/>
        </w:numPr>
        <w:spacing w:line="252" w:lineRule="auto"/>
        <w:ind w:left="0" w:firstLine="0"/>
        <w:jc w:val="both"/>
        <w:rPr>
          <w:rFonts w:ascii="Garamond" w:hAnsi="Garamond"/>
          <w:color w:val="000000" w:themeColor="text1"/>
        </w:rPr>
      </w:pPr>
    </w:p>
    <w:p w14:paraId="6578502E" w14:textId="77777777" w:rsidR="004746BB" w:rsidRDefault="004746BB" w:rsidP="004746BB">
      <w:pPr>
        <w:spacing w:line="252" w:lineRule="auto"/>
        <w:jc w:val="both"/>
        <w:rPr>
          <w:rFonts w:ascii="Garamond" w:hAnsi="Garamond"/>
        </w:rPr>
      </w:pPr>
    </w:p>
    <w:p w14:paraId="53A8E88D" w14:textId="697B48E2" w:rsidR="004746BB" w:rsidRDefault="004746BB" w:rsidP="004746BB">
      <w:pPr>
        <w:spacing w:line="252" w:lineRule="auto"/>
        <w:jc w:val="both"/>
        <w:rPr>
          <w:rFonts w:ascii="Garamond" w:hAnsi="Garamond"/>
        </w:rPr>
      </w:pPr>
      <w:r>
        <w:rPr>
          <w:rFonts w:ascii="Garamond" w:hAnsi="Garamond"/>
        </w:rPr>
        <w:t>Ensuite, s</w:t>
      </w:r>
      <w:r w:rsidR="00F86CA7">
        <w:rPr>
          <w:rFonts w:ascii="Garamond" w:hAnsi="Garamond"/>
        </w:rPr>
        <w:t>’</w:t>
      </w:r>
      <w:r>
        <w:rPr>
          <w:rFonts w:ascii="Garamond" w:hAnsi="Garamond"/>
        </w:rPr>
        <w:t>agissant de la détermination du taux de l</w:t>
      </w:r>
      <w:r w:rsidR="00F86CA7">
        <w:rPr>
          <w:rFonts w:ascii="Garamond" w:hAnsi="Garamond"/>
        </w:rPr>
        <w:t>’</w:t>
      </w:r>
      <w:r>
        <w:rPr>
          <w:rFonts w:ascii="Garamond" w:hAnsi="Garamond"/>
        </w:rPr>
        <w:t>astreinte, la jurisprudence</w:t>
      </w:r>
      <w:r w:rsidRPr="00096BF3">
        <w:rPr>
          <w:rFonts w:ascii="Garamond" w:hAnsi="Garamond"/>
        </w:rPr>
        <w:t xml:space="preserve"> </w:t>
      </w:r>
      <w:r>
        <w:rPr>
          <w:rFonts w:ascii="Garamond" w:hAnsi="Garamond"/>
        </w:rPr>
        <w:t>ne fixe pas</w:t>
      </w:r>
      <w:r w:rsidRPr="00096BF3">
        <w:rPr>
          <w:rFonts w:ascii="Garamond" w:hAnsi="Garamond"/>
        </w:rPr>
        <w:t xml:space="preserve"> de barème particulier</w:t>
      </w:r>
      <w:r>
        <w:rPr>
          <w:rFonts w:ascii="Garamond" w:hAnsi="Garamond"/>
        </w:rPr>
        <w:t xml:space="preserve">. </w:t>
      </w:r>
    </w:p>
    <w:p w14:paraId="11EE3C06" w14:textId="77777777" w:rsidR="004746BB" w:rsidRDefault="004746BB" w:rsidP="004746BB">
      <w:pPr>
        <w:spacing w:line="252" w:lineRule="auto"/>
        <w:jc w:val="both"/>
        <w:rPr>
          <w:rFonts w:ascii="Garamond" w:hAnsi="Garamond"/>
        </w:rPr>
      </w:pPr>
    </w:p>
    <w:p w14:paraId="7B815AA3" w14:textId="16BC6533" w:rsidR="004746BB" w:rsidRDefault="004746BB" w:rsidP="004746BB">
      <w:pPr>
        <w:spacing w:line="252" w:lineRule="auto"/>
        <w:jc w:val="both"/>
        <w:rPr>
          <w:rFonts w:ascii="Garamond" w:hAnsi="Garamond"/>
        </w:rPr>
      </w:pPr>
      <w:r>
        <w:rPr>
          <w:rFonts w:ascii="Garamond" w:hAnsi="Garamond"/>
        </w:rPr>
        <w:t>Toutefois, le montant de l</w:t>
      </w:r>
      <w:r w:rsidR="00F86CA7">
        <w:rPr>
          <w:rFonts w:ascii="Garamond" w:hAnsi="Garamond"/>
        </w:rPr>
        <w:t>’</w:t>
      </w:r>
      <w:r>
        <w:rPr>
          <w:rFonts w:ascii="Garamond" w:hAnsi="Garamond"/>
        </w:rPr>
        <w:t>astreinte doit tenir compte de l</w:t>
      </w:r>
      <w:r w:rsidR="00F86CA7">
        <w:rPr>
          <w:rFonts w:ascii="Garamond" w:hAnsi="Garamond"/>
        </w:rPr>
        <w:t>’</w:t>
      </w:r>
      <w:r>
        <w:rPr>
          <w:rFonts w:ascii="Garamond" w:hAnsi="Garamond"/>
        </w:rPr>
        <w:t>objectif recherché – à savoir contraindre le débiteur à s</w:t>
      </w:r>
      <w:r w:rsidR="00F86CA7">
        <w:rPr>
          <w:rFonts w:ascii="Garamond" w:hAnsi="Garamond"/>
        </w:rPr>
        <w:t>’</w:t>
      </w:r>
      <w:r>
        <w:rPr>
          <w:rFonts w:ascii="Garamond" w:hAnsi="Garamond"/>
        </w:rPr>
        <w:t xml:space="preserve">exécuter –, et présenter, par suite, un caractère suffisamment dissuasif. </w:t>
      </w:r>
    </w:p>
    <w:p w14:paraId="2C7F22B7" w14:textId="77777777" w:rsidR="004746BB" w:rsidRDefault="004746BB" w:rsidP="004746BB">
      <w:pPr>
        <w:spacing w:line="252" w:lineRule="auto"/>
        <w:jc w:val="both"/>
        <w:rPr>
          <w:rFonts w:ascii="Garamond" w:hAnsi="Garamond"/>
        </w:rPr>
      </w:pPr>
    </w:p>
    <w:p w14:paraId="246397EE" w14:textId="75279A48" w:rsidR="004746BB" w:rsidRDefault="004746BB" w:rsidP="004746BB">
      <w:pPr>
        <w:spacing w:line="252" w:lineRule="auto"/>
        <w:jc w:val="both"/>
        <w:rPr>
          <w:rFonts w:ascii="Garamond" w:hAnsi="Garamond"/>
        </w:rPr>
      </w:pPr>
      <w:r>
        <w:rPr>
          <w:rFonts w:ascii="Garamond" w:hAnsi="Garamond"/>
        </w:rPr>
        <w:t>À cet effet, le juge doit veiller à adapter l</w:t>
      </w:r>
      <w:r w:rsidR="00F86CA7">
        <w:rPr>
          <w:rFonts w:ascii="Garamond" w:hAnsi="Garamond"/>
        </w:rPr>
        <w:t>’</w:t>
      </w:r>
      <w:r>
        <w:rPr>
          <w:rFonts w:ascii="Garamond" w:hAnsi="Garamond"/>
        </w:rPr>
        <w:t>astreinte aux</w:t>
      </w:r>
      <w:r w:rsidRPr="00096BF3">
        <w:rPr>
          <w:rFonts w:ascii="Garamond" w:hAnsi="Garamond"/>
        </w:rPr>
        <w:t xml:space="preserve"> circonstances d</w:t>
      </w:r>
      <w:r>
        <w:rPr>
          <w:rFonts w:ascii="Garamond" w:hAnsi="Garamond"/>
        </w:rPr>
        <w:t>e l</w:t>
      </w:r>
      <w:r w:rsidR="00F86CA7">
        <w:rPr>
          <w:rFonts w:ascii="Garamond" w:hAnsi="Garamond"/>
        </w:rPr>
        <w:t>’</w:t>
      </w:r>
      <w:r w:rsidRPr="00096BF3">
        <w:rPr>
          <w:rFonts w:ascii="Garamond" w:hAnsi="Garamond"/>
        </w:rPr>
        <w:t>espèce (</w:t>
      </w:r>
      <w:r>
        <w:rPr>
          <w:rFonts w:ascii="Garamond" w:hAnsi="Garamond"/>
        </w:rPr>
        <w:t>en ce sens :</w:t>
      </w:r>
      <w:r w:rsidRPr="00096BF3">
        <w:rPr>
          <w:rFonts w:ascii="Garamond" w:hAnsi="Garamond"/>
        </w:rPr>
        <w:t xml:space="preserve"> CE</w:t>
      </w:r>
      <w:r>
        <w:rPr>
          <w:rFonts w:ascii="Garamond" w:hAnsi="Garamond"/>
        </w:rPr>
        <w:t>,</w:t>
      </w:r>
      <w:r w:rsidRPr="00096BF3">
        <w:rPr>
          <w:rFonts w:ascii="Garamond" w:hAnsi="Garamond"/>
        </w:rPr>
        <w:t xml:space="preserve"> 30 mars 1998, </w:t>
      </w:r>
      <w:r w:rsidRPr="00096BF3">
        <w:rPr>
          <w:rFonts w:ascii="Garamond" w:hAnsi="Garamond"/>
          <w:i/>
        </w:rPr>
        <w:t>Ghergout</w:t>
      </w:r>
      <w:r w:rsidRPr="00096BF3">
        <w:rPr>
          <w:rFonts w:ascii="Garamond" w:hAnsi="Garamond"/>
        </w:rPr>
        <w:t xml:space="preserve">, </w:t>
      </w:r>
      <w:r>
        <w:rPr>
          <w:rFonts w:ascii="Garamond" w:hAnsi="Garamond"/>
        </w:rPr>
        <w:t>req. n° </w:t>
      </w:r>
      <w:r w:rsidRPr="00096BF3">
        <w:rPr>
          <w:rFonts w:ascii="Garamond" w:hAnsi="Garamond"/>
        </w:rPr>
        <w:t>187900</w:t>
      </w:r>
      <w:r>
        <w:rPr>
          <w:rFonts w:ascii="Garamond" w:hAnsi="Garamond"/>
        </w:rPr>
        <w:t xml:space="preserve"> ; </w:t>
      </w:r>
      <w:r w:rsidRPr="00096BF3">
        <w:rPr>
          <w:rFonts w:ascii="Garamond" w:hAnsi="Garamond"/>
        </w:rPr>
        <w:t>CE</w:t>
      </w:r>
      <w:r>
        <w:rPr>
          <w:rFonts w:ascii="Garamond" w:hAnsi="Garamond"/>
        </w:rPr>
        <w:t>, 2</w:t>
      </w:r>
      <w:r w:rsidRPr="00096BF3">
        <w:rPr>
          <w:rFonts w:ascii="Garamond" w:hAnsi="Garamond"/>
        </w:rPr>
        <w:t>8 févr</w:t>
      </w:r>
      <w:r>
        <w:rPr>
          <w:rFonts w:ascii="Garamond" w:hAnsi="Garamond"/>
        </w:rPr>
        <w:t xml:space="preserve">ier </w:t>
      </w:r>
      <w:r w:rsidRPr="00096BF3">
        <w:rPr>
          <w:rFonts w:ascii="Garamond" w:hAnsi="Garamond"/>
        </w:rPr>
        <w:t xml:space="preserve">2001, </w:t>
      </w:r>
      <w:r w:rsidRPr="00096BF3">
        <w:rPr>
          <w:rFonts w:ascii="Garamond" w:hAnsi="Garamond"/>
          <w:i/>
        </w:rPr>
        <w:t>Union des métiers et industries de l</w:t>
      </w:r>
      <w:r w:rsidR="00F86CA7">
        <w:rPr>
          <w:rFonts w:ascii="Garamond" w:hAnsi="Garamond"/>
          <w:i/>
        </w:rPr>
        <w:t>’</w:t>
      </w:r>
      <w:r w:rsidRPr="00096BF3">
        <w:rPr>
          <w:rFonts w:ascii="Garamond" w:hAnsi="Garamond"/>
          <w:i/>
        </w:rPr>
        <w:t>hôtellerie</w:t>
      </w:r>
      <w:r w:rsidRPr="00096BF3">
        <w:rPr>
          <w:rFonts w:ascii="Garamond" w:hAnsi="Garamond"/>
        </w:rPr>
        <w:t>,</w:t>
      </w:r>
      <w:r>
        <w:rPr>
          <w:rFonts w:ascii="Garamond" w:hAnsi="Garamond"/>
        </w:rPr>
        <w:t xml:space="preserve"> req. n° </w:t>
      </w:r>
      <w:r w:rsidRPr="00096BF3">
        <w:rPr>
          <w:rFonts w:ascii="Garamond" w:hAnsi="Garamond"/>
        </w:rPr>
        <w:t>225740</w:t>
      </w:r>
      <w:r>
        <w:rPr>
          <w:rFonts w:ascii="Garamond" w:hAnsi="Garamond"/>
        </w:rPr>
        <w:t xml:space="preserve">). </w:t>
      </w:r>
    </w:p>
    <w:p w14:paraId="1BC849F3" w14:textId="77777777" w:rsidR="004746BB" w:rsidRDefault="004746BB" w:rsidP="004746BB">
      <w:pPr>
        <w:spacing w:line="252" w:lineRule="auto"/>
        <w:jc w:val="both"/>
        <w:rPr>
          <w:rFonts w:ascii="Garamond" w:hAnsi="Garamond"/>
        </w:rPr>
      </w:pPr>
    </w:p>
    <w:p w14:paraId="6DC9A380" w14:textId="184E7523" w:rsidR="004746BB" w:rsidRPr="000A5407" w:rsidRDefault="004746BB" w:rsidP="004746BB">
      <w:pPr>
        <w:spacing w:line="252" w:lineRule="auto"/>
        <w:jc w:val="both"/>
        <w:rPr>
          <w:rFonts w:ascii="Garamond" w:hAnsi="Garamond"/>
        </w:rPr>
      </w:pPr>
      <w:r>
        <w:rPr>
          <w:rFonts w:ascii="Garamond" w:hAnsi="Garamond"/>
        </w:rPr>
        <w:t>Et dans ce cadre, il peut tenir compte d</w:t>
      </w:r>
      <w:r w:rsidR="00F86CA7">
        <w:rPr>
          <w:rFonts w:ascii="Garamond" w:hAnsi="Garamond"/>
        </w:rPr>
        <w:t>’</w:t>
      </w:r>
      <w:r>
        <w:rPr>
          <w:rFonts w:ascii="Garamond" w:hAnsi="Garamond"/>
        </w:rPr>
        <w:t xml:space="preserve">un certain nombre de critères, tels que la durée (en ce sens : CE, ord., 7 décembre 1988, </w:t>
      </w:r>
      <w:r w:rsidRPr="007A7CBB">
        <w:rPr>
          <w:rFonts w:ascii="Garamond" w:hAnsi="Garamond"/>
          <w:i/>
        </w:rPr>
        <w:t>CNCL c. Société La Cinq</w:t>
      </w:r>
      <w:r>
        <w:rPr>
          <w:rFonts w:ascii="Garamond" w:hAnsi="Garamond"/>
        </w:rPr>
        <w:t xml:space="preserve">, req. n° 103064, Rec. T. p. 611 ; CE, 20 janvier 1989, </w:t>
      </w:r>
      <w:r w:rsidRPr="007A7CBB">
        <w:rPr>
          <w:rFonts w:ascii="Garamond" w:hAnsi="Garamond"/>
          <w:i/>
        </w:rPr>
        <w:t>CNCL c. Société La Cinq</w:t>
      </w:r>
      <w:r>
        <w:rPr>
          <w:rFonts w:ascii="Garamond" w:hAnsi="Garamond"/>
        </w:rPr>
        <w:t xml:space="preserve">, req. n° 102993, Rec. p. 17) ou la gravité des manquements constatés (en ce sens : </w:t>
      </w:r>
      <w:r w:rsidRPr="00A61CC2">
        <w:rPr>
          <w:rFonts w:ascii="Garamond" w:hAnsi="Garamond"/>
        </w:rPr>
        <w:t>CE</w:t>
      </w:r>
      <w:r>
        <w:rPr>
          <w:rFonts w:ascii="Garamond" w:hAnsi="Garamond"/>
        </w:rPr>
        <w:t xml:space="preserve">, </w:t>
      </w:r>
      <w:r w:rsidRPr="00A61CC2">
        <w:rPr>
          <w:rFonts w:ascii="Garamond" w:hAnsi="Garamond"/>
        </w:rPr>
        <w:t>20 janv</w:t>
      </w:r>
      <w:r>
        <w:rPr>
          <w:rFonts w:ascii="Garamond" w:hAnsi="Garamond"/>
        </w:rPr>
        <w:t>ier</w:t>
      </w:r>
      <w:r w:rsidRPr="00A61CC2">
        <w:rPr>
          <w:rFonts w:ascii="Garamond" w:hAnsi="Garamond"/>
        </w:rPr>
        <w:t xml:space="preserve"> 1989, </w:t>
      </w:r>
      <w:r w:rsidRPr="00A61CC2">
        <w:rPr>
          <w:rFonts w:ascii="Garamond" w:hAnsi="Garamond"/>
          <w:i/>
        </w:rPr>
        <w:t xml:space="preserve">CNCL </w:t>
      </w:r>
      <w:r>
        <w:rPr>
          <w:rFonts w:ascii="Garamond" w:hAnsi="Garamond"/>
          <w:i/>
        </w:rPr>
        <w:t>c.</w:t>
      </w:r>
      <w:r w:rsidRPr="00A61CC2">
        <w:rPr>
          <w:rFonts w:ascii="Garamond" w:hAnsi="Garamond"/>
          <w:i/>
        </w:rPr>
        <w:t xml:space="preserve"> Société TF1</w:t>
      </w:r>
      <w:r w:rsidRPr="00A61CC2">
        <w:rPr>
          <w:rFonts w:ascii="Garamond" w:hAnsi="Garamond"/>
        </w:rPr>
        <w:t>, req. n</w:t>
      </w:r>
      <w:r>
        <w:rPr>
          <w:rFonts w:ascii="Garamond" w:hAnsi="Garamond"/>
        </w:rPr>
        <w:t>° </w:t>
      </w:r>
      <w:r w:rsidRPr="00A61CC2">
        <w:rPr>
          <w:rFonts w:ascii="Garamond" w:hAnsi="Garamond"/>
        </w:rPr>
        <w:t>103063, Rec. p.</w:t>
      </w:r>
      <w:r>
        <w:rPr>
          <w:rFonts w:ascii="Garamond" w:hAnsi="Garamond"/>
        </w:rPr>
        <w:t> </w:t>
      </w:r>
      <w:r w:rsidRPr="00A61CC2">
        <w:rPr>
          <w:rFonts w:ascii="Garamond" w:hAnsi="Garamond"/>
        </w:rPr>
        <w:t>9</w:t>
      </w:r>
      <w:r>
        <w:rPr>
          <w:rFonts w:ascii="Garamond" w:hAnsi="Garamond"/>
        </w:rPr>
        <w:t xml:space="preserve"> ; </w:t>
      </w:r>
      <w:r w:rsidRPr="00E74829">
        <w:rPr>
          <w:rFonts w:ascii="Garamond" w:hAnsi="Garamond"/>
          <w:color w:val="000000" w:themeColor="text1"/>
        </w:rPr>
        <w:t>CE, Ass</w:t>
      </w:r>
      <w:r>
        <w:rPr>
          <w:rFonts w:ascii="Garamond" w:hAnsi="Garamond"/>
          <w:color w:val="000000" w:themeColor="text1"/>
        </w:rPr>
        <w:t>.</w:t>
      </w:r>
      <w:r w:rsidRPr="00E74829">
        <w:rPr>
          <w:rFonts w:ascii="Garamond" w:hAnsi="Garamond"/>
          <w:color w:val="000000" w:themeColor="text1"/>
        </w:rPr>
        <w:t>, 10</w:t>
      </w:r>
      <w:r>
        <w:rPr>
          <w:rFonts w:ascii="Garamond" w:hAnsi="Garamond"/>
          <w:color w:val="000000" w:themeColor="text1"/>
        </w:rPr>
        <w:t xml:space="preserve"> juillet </w:t>
      </w:r>
      <w:r w:rsidRPr="00E74829">
        <w:rPr>
          <w:rFonts w:ascii="Garamond" w:hAnsi="Garamond"/>
          <w:color w:val="000000" w:themeColor="text1"/>
        </w:rPr>
        <w:t xml:space="preserve">2020, </w:t>
      </w:r>
      <w:r w:rsidRPr="00A33FF0">
        <w:rPr>
          <w:rFonts w:ascii="Garamond" w:hAnsi="Garamond"/>
          <w:i/>
          <w:color w:val="000000" w:themeColor="text1"/>
        </w:rPr>
        <w:t>Association Les Amis de la Terre</w:t>
      </w:r>
      <w:r>
        <w:rPr>
          <w:rFonts w:ascii="Garamond" w:hAnsi="Garamond"/>
          <w:color w:val="000000" w:themeColor="text1"/>
        </w:rPr>
        <w:t>, req. n° </w:t>
      </w:r>
      <w:r w:rsidRPr="00E74829">
        <w:rPr>
          <w:rFonts w:ascii="Garamond" w:hAnsi="Garamond"/>
          <w:color w:val="000000" w:themeColor="text1"/>
        </w:rPr>
        <w:t xml:space="preserve">428409, </w:t>
      </w:r>
      <w:r>
        <w:rPr>
          <w:rFonts w:ascii="Garamond" w:hAnsi="Garamond"/>
          <w:color w:val="000000" w:themeColor="text1"/>
        </w:rPr>
        <w:t>p</w:t>
      </w:r>
      <w:r w:rsidRPr="00E74829">
        <w:rPr>
          <w:rFonts w:ascii="Garamond" w:hAnsi="Garamond"/>
          <w:color w:val="000000" w:themeColor="text1"/>
        </w:rPr>
        <w:t>ublié au recueil Lebon</w:t>
      </w:r>
      <w:r>
        <w:rPr>
          <w:rFonts w:ascii="Garamond" w:hAnsi="Garamond"/>
          <w:color w:val="000000" w:themeColor="text1"/>
        </w:rPr>
        <w:t xml:space="preserve">). </w:t>
      </w:r>
    </w:p>
    <w:p w14:paraId="6B92567D" w14:textId="77777777" w:rsidR="004746BB" w:rsidRDefault="004746BB" w:rsidP="004746BB">
      <w:pPr>
        <w:spacing w:line="252" w:lineRule="auto"/>
        <w:jc w:val="both"/>
        <w:rPr>
          <w:rFonts w:ascii="Garamond" w:hAnsi="Garamond"/>
          <w:color w:val="000000" w:themeColor="text1"/>
        </w:rPr>
      </w:pPr>
    </w:p>
    <w:p w14:paraId="680CF650" w14:textId="77777777" w:rsidR="004746BB" w:rsidRDefault="004746BB" w:rsidP="004746BB">
      <w:pPr>
        <w:spacing w:line="252" w:lineRule="auto"/>
        <w:jc w:val="both"/>
        <w:rPr>
          <w:rFonts w:ascii="Garamond" w:hAnsi="Garamond"/>
        </w:rPr>
      </w:pPr>
      <w:r>
        <w:rPr>
          <w:rFonts w:ascii="Garamond" w:hAnsi="Garamond"/>
          <w:color w:val="000000" w:themeColor="text1"/>
        </w:rPr>
        <w:t xml:space="preserve">En outre, il importe que le juge prenne en considération la situation particulière – notamment financière – du débiteur (en ce sens : </w:t>
      </w:r>
      <w:r w:rsidRPr="00A61CC2">
        <w:rPr>
          <w:rFonts w:ascii="Garamond" w:hAnsi="Garamond"/>
        </w:rPr>
        <w:t xml:space="preserve">CE, ord., 27 mars 2003, </w:t>
      </w:r>
      <w:r w:rsidRPr="00A61CC2">
        <w:rPr>
          <w:rFonts w:ascii="Garamond" w:hAnsi="Garamond"/>
          <w:i/>
        </w:rPr>
        <w:t>CSA c. Société Métropole Télévision (M6)</w:t>
      </w:r>
      <w:r w:rsidRPr="00A61CC2">
        <w:rPr>
          <w:rFonts w:ascii="Garamond" w:hAnsi="Garamond"/>
        </w:rPr>
        <w:t xml:space="preserve">, req. </w:t>
      </w:r>
      <w:r>
        <w:rPr>
          <w:rFonts w:ascii="Garamond" w:hAnsi="Garamond"/>
        </w:rPr>
        <w:t>n° </w:t>
      </w:r>
      <w:r w:rsidRPr="00A61CC2">
        <w:rPr>
          <w:rFonts w:ascii="Garamond" w:hAnsi="Garamond"/>
        </w:rPr>
        <w:t xml:space="preserve">254736, Rec. </w:t>
      </w:r>
      <w:r>
        <w:rPr>
          <w:rFonts w:ascii="Garamond" w:hAnsi="Garamond"/>
        </w:rPr>
        <w:t>p. </w:t>
      </w:r>
      <w:r w:rsidRPr="00A61CC2">
        <w:rPr>
          <w:rFonts w:ascii="Garamond" w:hAnsi="Garamond"/>
        </w:rPr>
        <w:t xml:space="preserve"> 153</w:t>
      </w:r>
      <w:r>
        <w:rPr>
          <w:rFonts w:ascii="Garamond" w:hAnsi="Garamond"/>
        </w:rPr>
        <w:t xml:space="preserve">). En effet, comme le souligne la doctrine : </w:t>
      </w:r>
    </w:p>
    <w:p w14:paraId="54525379" w14:textId="77777777" w:rsidR="004746BB" w:rsidRDefault="004746BB" w:rsidP="004746BB">
      <w:pPr>
        <w:spacing w:line="252" w:lineRule="auto"/>
        <w:jc w:val="both"/>
        <w:rPr>
          <w:rFonts w:ascii="Garamond" w:hAnsi="Garamond"/>
          <w:color w:val="000000" w:themeColor="text1"/>
        </w:rPr>
      </w:pPr>
    </w:p>
    <w:p w14:paraId="75591ED2" w14:textId="2E04C615" w:rsidR="004746BB" w:rsidRPr="00A61CC2" w:rsidRDefault="004746BB" w:rsidP="004746BB">
      <w:pPr>
        <w:spacing w:line="252" w:lineRule="auto"/>
        <w:ind w:left="567"/>
        <w:jc w:val="both"/>
        <w:rPr>
          <w:rFonts w:ascii="Garamond" w:hAnsi="Garamond"/>
          <w:color w:val="000000" w:themeColor="text1"/>
        </w:rPr>
      </w:pPr>
      <w:r>
        <w:rPr>
          <w:rFonts w:ascii="Garamond" w:hAnsi="Garamond"/>
          <w:color w:val="000000" w:themeColor="text1"/>
        </w:rPr>
        <w:t>« </w:t>
      </w:r>
      <w:r w:rsidRPr="00A61CC2">
        <w:rPr>
          <w:rFonts w:ascii="Garamond" w:hAnsi="Garamond"/>
          <w:i/>
          <w:color w:val="000000" w:themeColor="text1"/>
        </w:rPr>
        <w:t>L</w:t>
      </w:r>
      <w:r w:rsidR="00F86CA7">
        <w:rPr>
          <w:rFonts w:ascii="Garamond" w:hAnsi="Garamond"/>
          <w:i/>
          <w:color w:val="000000" w:themeColor="text1"/>
        </w:rPr>
        <w:t>’</w:t>
      </w:r>
      <w:r w:rsidRPr="00A61CC2">
        <w:rPr>
          <w:rFonts w:ascii="Garamond" w:hAnsi="Garamond"/>
          <w:i/>
          <w:color w:val="000000" w:themeColor="text1"/>
        </w:rPr>
        <w:t>astreinte est superflue si le débiteur dispose de suffisamment de moyens pour s</w:t>
      </w:r>
      <w:r w:rsidR="00F86CA7">
        <w:rPr>
          <w:rFonts w:ascii="Garamond" w:hAnsi="Garamond"/>
          <w:i/>
          <w:color w:val="000000" w:themeColor="text1"/>
        </w:rPr>
        <w:t>’</w:t>
      </w:r>
      <w:r w:rsidRPr="00A61CC2">
        <w:rPr>
          <w:rFonts w:ascii="Garamond" w:hAnsi="Garamond"/>
          <w:i/>
          <w:color w:val="000000" w:themeColor="text1"/>
        </w:rPr>
        <w:t>en acquitter sans peine, d</w:t>
      </w:r>
      <w:r w:rsidR="00F86CA7">
        <w:rPr>
          <w:rFonts w:ascii="Garamond" w:hAnsi="Garamond"/>
          <w:i/>
          <w:color w:val="000000" w:themeColor="text1"/>
        </w:rPr>
        <w:t>’</w:t>
      </w:r>
      <w:r w:rsidRPr="00A61CC2">
        <w:rPr>
          <w:rFonts w:ascii="Garamond" w:hAnsi="Garamond"/>
          <w:i/>
          <w:color w:val="000000" w:themeColor="text1"/>
        </w:rPr>
        <w:t>où les taux parfois vertigineux que les tribunaux retiennent</w:t>
      </w:r>
      <w:r w:rsidRPr="00A61CC2">
        <w:rPr>
          <w:rFonts w:ascii="Garamond" w:hAnsi="Garamond"/>
          <w:color w:val="000000" w:themeColor="text1"/>
        </w:rPr>
        <w:t xml:space="preserve"> </w:t>
      </w:r>
      <w:r>
        <w:rPr>
          <w:rFonts w:ascii="Garamond" w:hAnsi="Garamond"/>
          <w:color w:val="000000" w:themeColor="text1"/>
        </w:rPr>
        <w:t xml:space="preserve">[…] </w:t>
      </w:r>
      <w:r w:rsidRPr="00A61CC2">
        <w:rPr>
          <w:rFonts w:ascii="Garamond" w:hAnsi="Garamond"/>
          <w:i/>
          <w:color w:val="000000" w:themeColor="text1"/>
        </w:rPr>
        <w:t>En résumé, "il faut laisser au juge le soin de fixer, dans chaque cas d</w:t>
      </w:r>
      <w:r w:rsidR="00F86CA7">
        <w:rPr>
          <w:rFonts w:ascii="Garamond" w:hAnsi="Garamond"/>
          <w:i/>
          <w:color w:val="000000" w:themeColor="text1"/>
        </w:rPr>
        <w:t>’</w:t>
      </w:r>
      <w:r w:rsidRPr="00A61CC2">
        <w:rPr>
          <w:rFonts w:ascii="Garamond" w:hAnsi="Garamond"/>
          <w:i/>
          <w:color w:val="000000" w:themeColor="text1"/>
        </w:rPr>
        <w:t>espèce, un chiffre souvent considérable, hors de proportion avec le dommage que pourra éprouver le créancier, et d</w:t>
      </w:r>
      <w:r w:rsidR="00F86CA7">
        <w:rPr>
          <w:rFonts w:ascii="Garamond" w:hAnsi="Garamond"/>
          <w:i/>
          <w:color w:val="000000" w:themeColor="text1"/>
        </w:rPr>
        <w:t>’</w:t>
      </w:r>
      <w:r w:rsidRPr="00A61CC2">
        <w:rPr>
          <w:rFonts w:ascii="Garamond" w:hAnsi="Garamond"/>
          <w:i/>
          <w:color w:val="000000" w:themeColor="text1"/>
        </w:rPr>
        <w:t>autant plus élevé que les moyens de fortune du débiteur sont plus importants"</w:t>
      </w:r>
      <w:r w:rsidRPr="00A61CC2">
        <w:rPr>
          <w:rFonts w:ascii="Garamond" w:hAnsi="Garamond"/>
          <w:color w:val="000000" w:themeColor="text1"/>
        </w:rPr>
        <w:t xml:space="preserve"> </w:t>
      </w:r>
      <w:r>
        <w:rPr>
          <w:rFonts w:ascii="Garamond" w:hAnsi="Garamond"/>
          <w:color w:val="000000" w:themeColor="text1"/>
        </w:rPr>
        <w:lastRenderedPageBreak/>
        <w:t>[…]</w:t>
      </w:r>
      <w:r w:rsidRPr="00A61CC2">
        <w:rPr>
          <w:rFonts w:ascii="Garamond" w:hAnsi="Garamond"/>
          <w:i/>
          <w:color w:val="000000" w:themeColor="text1"/>
        </w:rPr>
        <w:t>. Ce qui n</w:t>
      </w:r>
      <w:r w:rsidR="00F86CA7">
        <w:rPr>
          <w:rFonts w:ascii="Garamond" w:hAnsi="Garamond"/>
          <w:i/>
          <w:color w:val="000000" w:themeColor="text1"/>
        </w:rPr>
        <w:t>’</w:t>
      </w:r>
      <w:r w:rsidRPr="00A61CC2">
        <w:rPr>
          <w:rFonts w:ascii="Garamond" w:hAnsi="Garamond"/>
          <w:i/>
          <w:color w:val="000000" w:themeColor="text1"/>
        </w:rPr>
        <w:t>est qu</w:t>
      </w:r>
      <w:r w:rsidR="00F86CA7">
        <w:rPr>
          <w:rFonts w:ascii="Garamond" w:hAnsi="Garamond"/>
          <w:i/>
          <w:color w:val="000000" w:themeColor="text1"/>
        </w:rPr>
        <w:t>’</w:t>
      </w:r>
      <w:r w:rsidRPr="00A61CC2">
        <w:rPr>
          <w:rFonts w:ascii="Garamond" w:hAnsi="Garamond"/>
          <w:i/>
          <w:color w:val="000000" w:themeColor="text1"/>
        </w:rPr>
        <w:t>une manière de dire, en quelque sorte, que le montant de l</w:t>
      </w:r>
      <w:r w:rsidR="00F86CA7">
        <w:rPr>
          <w:rFonts w:ascii="Garamond" w:hAnsi="Garamond"/>
          <w:i/>
          <w:color w:val="000000" w:themeColor="text1"/>
        </w:rPr>
        <w:t>’</w:t>
      </w:r>
      <w:r w:rsidRPr="00A61CC2">
        <w:rPr>
          <w:rFonts w:ascii="Garamond" w:hAnsi="Garamond"/>
          <w:i/>
          <w:color w:val="000000" w:themeColor="text1"/>
        </w:rPr>
        <w:t>astreinte doit être "proportionnellement disproportionné". Cette aptitude financière doit permettre également d</w:t>
      </w:r>
      <w:r w:rsidR="00F86CA7">
        <w:rPr>
          <w:rFonts w:ascii="Garamond" w:hAnsi="Garamond"/>
          <w:i/>
          <w:color w:val="000000" w:themeColor="text1"/>
        </w:rPr>
        <w:t>’</w:t>
      </w:r>
      <w:r w:rsidRPr="00A61CC2">
        <w:rPr>
          <w:rFonts w:ascii="Garamond" w:hAnsi="Garamond"/>
          <w:i/>
          <w:color w:val="000000" w:themeColor="text1"/>
        </w:rPr>
        <w:t>anticiper la rapidité avec laquelle le débiteur s</w:t>
      </w:r>
      <w:r w:rsidR="00F86CA7">
        <w:rPr>
          <w:rFonts w:ascii="Garamond" w:hAnsi="Garamond"/>
          <w:i/>
          <w:color w:val="000000" w:themeColor="text1"/>
        </w:rPr>
        <w:t>’</w:t>
      </w:r>
      <w:r w:rsidRPr="00A61CC2">
        <w:rPr>
          <w:rFonts w:ascii="Garamond" w:hAnsi="Garamond"/>
          <w:i/>
          <w:color w:val="000000" w:themeColor="text1"/>
        </w:rPr>
        <w:t>exécutera, car l</w:t>
      </w:r>
      <w:r w:rsidR="00F86CA7">
        <w:rPr>
          <w:rFonts w:ascii="Garamond" w:hAnsi="Garamond"/>
          <w:i/>
          <w:color w:val="000000" w:themeColor="text1"/>
        </w:rPr>
        <w:t>’</w:t>
      </w:r>
      <w:r w:rsidRPr="00A61CC2">
        <w:rPr>
          <w:rFonts w:ascii="Garamond" w:hAnsi="Garamond"/>
          <w:i/>
          <w:color w:val="000000" w:themeColor="text1"/>
        </w:rPr>
        <w:t>astreinte se veut une contrainte à agir rapidement, au plus vite, afin que les intérêts du créancier ne soient pas trop longtemps lésés </w:t>
      </w:r>
      <w:r>
        <w:rPr>
          <w:rFonts w:ascii="Garamond" w:hAnsi="Garamond"/>
          <w:color w:val="000000" w:themeColor="text1"/>
        </w:rPr>
        <w:t xml:space="preserve">» (F. GUERCHOUN, « Astreinte », </w:t>
      </w:r>
      <w:r w:rsidRPr="00A61CC2">
        <w:rPr>
          <w:rFonts w:ascii="Garamond" w:hAnsi="Garamond"/>
          <w:i/>
          <w:color w:val="000000" w:themeColor="text1"/>
        </w:rPr>
        <w:t>Répertoire de procédure civile</w:t>
      </w:r>
      <w:r>
        <w:rPr>
          <w:rFonts w:ascii="Garamond" w:hAnsi="Garamond"/>
          <w:color w:val="000000" w:themeColor="text1"/>
        </w:rPr>
        <w:t xml:space="preserve">, Dalloz, 2021, § 80). </w:t>
      </w:r>
    </w:p>
    <w:p w14:paraId="770064A2" w14:textId="77777777" w:rsidR="004746BB" w:rsidRDefault="004746BB" w:rsidP="004746BB">
      <w:pPr>
        <w:spacing w:line="252" w:lineRule="auto"/>
        <w:jc w:val="both"/>
        <w:rPr>
          <w:rFonts w:ascii="Garamond" w:hAnsi="Garamond"/>
        </w:rPr>
      </w:pPr>
    </w:p>
    <w:p w14:paraId="65218EEA" w14:textId="5B082FF5" w:rsidR="004746BB" w:rsidRDefault="004746BB" w:rsidP="004746BB">
      <w:pPr>
        <w:spacing w:line="252" w:lineRule="auto"/>
        <w:jc w:val="both"/>
        <w:rPr>
          <w:rFonts w:ascii="Garamond" w:hAnsi="Garamond"/>
          <w:color w:val="000000" w:themeColor="text1"/>
        </w:rPr>
      </w:pPr>
      <w:r>
        <w:rPr>
          <w:rFonts w:ascii="Garamond" w:hAnsi="Garamond"/>
        </w:rPr>
        <w:t>Enfin, l</w:t>
      </w:r>
      <w:r w:rsidR="00F86CA7">
        <w:rPr>
          <w:rFonts w:ascii="Garamond" w:hAnsi="Garamond"/>
        </w:rPr>
        <w:t>’</w:t>
      </w:r>
      <w:r>
        <w:rPr>
          <w:rFonts w:ascii="Garamond" w:hAnsi="Garamond"/>
        </w:rPr>
        <w:t>enjeu de l</w:t>
      </w:r>
      <w:r w:rsidR="00F86CA7">
        <w:rPr>
          <w:rFonts w:ascii="Garamond" w:hAnsi="Garamond"/>
        </w:rPr>
        <w:t>’</w:t>
      </w:r>
      <w:r>
        <w:rPr>
          <w:rFonts w:ascii="Garamond" w:hAnsi="Garamond"/>
        </w:rPr>
        <w:t>affaire peut conduire le juge à prononcer des astreintes élevées</w:t>
      </w:r>
      <w:r>
        <w:rPr>
          <w:rFonts w:ascii="Garamond" w:hAnsi="Garamond"/>
          <w:color w:val="000000" w:themeColor="text1"/>
        </w:rPr>
        <w:t xml:space="preserve">. </w:t>
      </w:r>
    </w:p>
    <w:p w14:paraId="53748EC8" w14:textId="77777777" w:rsidR="004746BB" w:rsidRDefault="004746BB" w:rsidP="004746BB">
      <w:pPr>
        <w:spacing w:line="252" w:lineRule="auto"/>
        <w:jc w:val="both"/>
        <w:rPr>
          <w:rFonts w:ascii="Garamond" w:hAnsi="Garamond"/>
          <w:color w:val="000000" w:themeColor="text1"/>
        </w:rPr>
      </w:pPr>
    </w:p>
    <w:p w14:paraId="39967E73" w14:textId="77777777" w:rsidR="004746BB" w:rsidRDefault="004746BB" w:rsidP="004746BB">
      <w:pPr>
        <w:spacing w:line="252" w:lineRule="auto"/>
        <w:jc w:val="both"/>
        <w:rPr>
          <w:rFonts w:ascii="Garamond" w:hAnsi="Garamond"/>
          <w:color w:val="000000" w:themeColor="text1"/>
        </w:rPr>
      </w:pPr>
      <w:r>
        <w:rPr>
          <w:rFonts w:ascii="Garamond" w:hAnsi="Garamond"/>
          <w:color w:val="000000" w:themeColor="text1"/>
        </w:rPr>
        <w:t xml:space="preserve">Tel est notamment le cas en matière environnementale. </w:t>
      </w:r>
    </w:p>
    <w:p w14:paraId="5D7DDBEA" w14:textId="77777777" w:rsidR="004746BB" w:rsidRDefault="004746BB" w:rsidP="004746BB">
      <w:pPr>
        <w:spacing w:line="252" w:lineRule="auto"/>
        <w:jc w:val="both"/>
        <w:rPr>
          <w:rFonts w:ascii="Garamond" w:hAnsi="Garamond"/>
          <w:color w:val="000000" w:themeColor="text1"/>
        </w:rPr>
      </w:pPr>
    </w:p>
    <w:p w14:paraId="406A8D8E" w14:textId="38845A6E" w:rsidR="004746BB" w:rsidRDefault="004746BB" w:rsidP="004746BB">
      <w:pPr>
        <w:spacing w:line="252" w:lineRule="auto"/>
        <w:jc w:val="both"/>
        <w:rPr>
          <w:rFonts w:ascii="Garamond" w:hAnsi="Garamond"/>
          <w:color w:val="000000" w:themeColor="text1"/>
        </w:rPr>
      </w:pPr>
      <w:r>
        <w:rPr>
          <w:rFonts w:ascii="Garamond" w:hAnsi="Garamond"/>
          <w:color w:val="000000" w:themeColor="text1"/>
        </w:rPr>
        <w:t>Et pour cause : tel que le relevait Monsieur Stéphane HOYNCK, rapporteur public, dans ses conclusions sur la décision « </w:t>
      </w:r>
      <w:r w:rsidRPr="00011128">
        <w:rPr>
          <w:rFonts w:ascii="Garamond" w:hAnsi="Garamond"/>
          <w:i/>
          <w:color w:val="000000" w:themeColor="text1"/>
        </w:rPr>
        <w:t>Association Les Amis de la Terre</w:t>
      </w:r>
      <w:r>
        <w:rPr>
          <w:rFonts w:ascii="Garamond" w:hAnsi="Garamond"/>
          <w:color w:val="000000" w:themeColor="text1"/>
        </w:rPr>
        <w:t> » du 10 juillet 2020, « </w:t>
      </w:r>
      <w:r w:rsidRPr="00011128">
        <w:rPr>
          <w:rFonts w:ascii="Garamond" w:hAnsi="Garamond"/>
          <w:i/>
          <w:color w:val="000000" w:themeColor="text1"/>
        </w:rPr>
        <w:t>les questions touchant à la protection de l</w:t>
      </w:r>
      <w:r w:rsidR="00F86CA7">
        <w:rPr>
          <w:rFonts w:ascii="Garamond" w:hAnsi="Garamond"/>
          <w:i/>
          <w:color w:val="000000" w:themeColor="text1"/>
        </w:rPr>
        <w:t>’</w:t>
      </w:r>
      <w:r w:rsidRPr="00011128">
        <w:rPr>
          <w:rFonts w:ascii="Garamond" w:hAnsi="Garamond"/>
          <w:i/>
          <w:color w:val="000000" w:themeColor="text1"/>
        </w:rPr>
        <w:t>environnement font sans doute partie de celles qui, parce qu</w:t>
      </w:r>
      <w:r w:rsidR="00F86CA7">
        <w:rPr>
          <w:rFonts w:ascii="Garamond" w:hAnsi="Garamond"/>
          <w:i/>
          <w:color w:val="000000" w:themeColor="text1"/>
        </w:rPr>
        <w:t>’</w:t>
      </w:r>
      <w:r w:rsidRPr="00011128">
        <w:rPr>
          <w:rFonts w:ascii="Garamond" w:hAnsi="Garamond"/>
          <w:i/>
          <w:color w:val="000000" w:themeColor="text1"/>
        </w:rPr>
        <w:t>elles représentent une cause transversale, peuvent justifier le prononcé d</w:t>
      </w:r>
      <w:r w:rsidR="00F86CA7">
        <w:rPr>
          <w:rFonts w:ascii="Garamond" w:hAnsi="Garamond"/>
          <w:i/>
          <w:color w:val="000000" w:themeColor="text1"/>
        </w:rPr>
        <w:t>’</w:t>
      </w:r>
      <w:r w:rsidRPr="00011128">
        <w:rPr>
          <w:rFonts w:ascii="Garamond" w:hAnsi="Garamond"/>
          <w:i/>
          <w:color w:val="000000" w:themeColor="text1"/>
        </w:rPr>
        <w:t>astreintes élevées</w:t>
      </w:r>
      <w:r>
        <w:rPr>
          <w:rFonts w:ascii="Garamond" w:hAnsi="Garamond"/>
          <w:color w:val="000000" w:themeColor="text1"/>
        </w:rPr>
        <w:t> » (</w:t>
      </w:r>
      <w:r>
        <w:rPr>
          <w:rFonts w:ascii="Garamond" w:hAnsi="Garamond"/>
        </w:rPr>
        <w:t xml:space="preserve">concl. S. HOYNCK sur CE, 10 juillet 2020, </w:t>
      </w:r>
      <w:r w:rsidRPr="00A33FF0">
        <w:rPr>
          <w:rFonts w:ascii="Garamond" w:hAnsi="Garamond"/>
          <w:i/>
          <w:color w:val="000000" w:themeColor="text1"/>
        </w:rPr>
        <w:t>Association Les Amis de la Terre</w:t>
      </w:r>
      <w:r>
        <w:rPr>
          <w:rFonts w:ascii="Garamond" w:hAnsi="Garamond"/>
          <w:color w:val="000000" w:themeColor="text1"/>
        </w:rPr>
        <w:t>, req. n° </w:t>
      </w:r>
      <w:r w:rsidRPr="00E74829">
        <w:rPr>
          <w:rFonts w:ascii="Garamond" w:hAnsi="Garamond"/>
          <w:color w:val="000000" w:themeColor="text1"/>
        </w:rPr>
        <w:t xml:space="preserve">428409, </w:t>
      </w:r>
      <w:r>
        <w:rPr>
          <w:rFonts w:ascii="Garamond" w:hAnsi="Garamond"/>
          <w:color w:val="000000" w:themeColor="text1"/>
        </w:rPr>
        <w:t>p</w:t>
      </w:r>
      <w:r w:rsidRPr="00E74829">
        <w:rPr>
          <w:rFonts w:ascii="Garamond" w:hAnsi="Garamond"/>
          <w:color w:val="000000" w:themeColor="text1"/>
        </w:rPr>
        <w:t>ublié au recueil Lebon</w:t>
      </w:r>
      <w:r>
        <w:rPr>
          <w:rFonts w:ascii="Garamond" w:hAnsi="Garamond"/>
          <w:color w:val="000000" w:themeColor="text1"/>
        </w:rPr>
        <w:t xml:space="preserve"> ; voir également : </w:t>
      </w:r>
      <w:r>
        <w:rPr>
          <w:rFonts w:ascii="Garamond" w:hAnsi="Garamond"/>
        </w:rPr>
        <w:t xml:space="preserve">concl. E. BOKDAM-TOGNETTI sur CE, 15 avril 2016, </w:t>
      </w:r>
      <w:r w:rsidRPr="00011128">
        <w:rPr>
          <w:rFonts w:ascii="Garamond" w:hAnsi="Garamond"/>
          <w:i/>
        </w:rPr>
        <w:t>Association Vent de colère !</w:t>
      </w:r>
      <w:r w:rsidRPr="00011128">
        <w:rPr>
          <w:rFonts w:ascii="Garamond" w:hAnsi="Garamond"/>
        </w:rPr>
        <w:t>,</w:t>
      </w:r>
      <w:r>
        <w:rPr>
          <w:rFonts w:ascii="Garamond" w:hAnsi="Garamond"/>
        </w:rPr>
        <w:t xml:space="preserve"> req. n° 393721</w:t>
      </w:r>
      <w:r>
        <w:rPr>
          <w:rFonts w:ascii="Garamond" w:hAnsi="Garamond"/>
          <w:color w:val="000000" w:themeColor="text1"/>
        </w:rPr>
        <w:t xml:space="preserve">, publié au recueil Lebon). </w:t>
      </w:r>
    </w:p>
    <w:p w14:paraId="52C5497E" w14:textId="77777777" w:rsidR="004746BB" w:rsidRDefault="004746BB" w:rsidP="004746BB">
      <w:pPr>
        <w:spacing w:line="252" w:lineRule="auto"/>
        <w:jc w:val="both"/>
        <w:rPr>
          <w:rFonts w:ascii="Garamond" w:hAnsi="Garamond"/>
        </w:rPr>
      </w:pPr>
    </w:p>
    <w:p w14:paraId="5D2559FA" w14:textId="77777777" w:rsidR="004746BB" w:rsidRPr="00E5734D" w:rsidRDefault="004746BB" w:rsidP="004746BB">
      <w:pPr>
        <w:numPr>
          <w:ilvl w:val="0"/>
          <w:numId w:val="1"/>
        </w:numPr>
        <w:spacing w:line="252" w:lineRule="auto"/>
        <w:ind w:left="0" w:firstLine="0"/>
        <w:jc w:val="both"/>
        <w:rPr>
          <w:rFonts w:ascii="Garamond" w:hAnsi="Garamond"/>
          <w:color w:val="000000" w:themeColor="text1"/>
        </w:rPr>
      </w:pPr>
    </w:p>
    <w:p w14:paraId="7CF9BB29" w14:textId="77777777" w:rsidR="004746BB" w:rsidRDefault="004746BB" w:rsidP="004746BB">
      <w:pPr>
        <w:spacing w:line="252" w:lineRule="auto"/>
        <w:jc w:val="both"/>
        <w:rPr>
          <w:rFonts w:ascii="Garamond" w:hAnsi="Garamond"/>
        </w:rPr>
      </w:pPr>
    </w:p>
    <w:p w14:paraId="138E10F4" w14:textId="3ECA0148" w:rsidR="004746BB" w:rsidRDefault="004746BB" w:rsidP="004746BB">
      <w:pPr>
        <w:spacing w:line="252" w:lineRule="auto"/>
        <w:jc w:val="both"/>
        <w:rPr>
          <w:rFonts w:ascii="Garamond" w:hAnsi="Garamond"/>
        </w:rPr>
      </w:pPr>
      <w:r>
        <w:rPr>
          <w:rFonts w:ascii="Garamond" w:hAnsi="Garamond"/>
        </w:rPr>
        <w:t>Le raisonnement ici poursuivi par les juridictions administratives est similaire à celui que met en œuvre la Cour de justice de l</w:t>
      </w:r>
      <w:r w:rsidR="00F86CA7">
        <w:rPr>
          <w:rFonts w:ascii="Garamond" w:hAnsi="Garamond"/>
        </w:rPr>
        <w:t>’</w:t>
      </w:r>
      <w:r>
        <w:rPr>
          <w:rFonts w:ascii="Garamond" w:hAnsi="Garamond"/>
        </w:rPr>
        <w:t>Union européenne lorsqu</w:t>
      </w:r>
      <w:r w:rsidR="00F86CA7">
        <w:rPr>
          <w:rFonts w:ascii="Garamond" w:hAnsi="Garamond"/>
        </w:rPr>
        <w:t>’</w:t>
      </w:r>
      <w:r>
        <w:rPr>
          <w:rFonts w:ascii="Garamond" w:hAnsi="Garamond"/>
        </w:rPr>
        <w:t xml:space="preserve">elle </w:t>
      </w:r>
      <w:r w:rsidRPr="00290308">
        <w:rPr>
          <w:rFonts w:ascii="Garamond" w:hAnsi="Garamond"/>
        </w:rPr>
        <w:t>constate qu</w:t>
      </w:r>
      <w:r w:rsidR="00F86CA7">
        <w:rPr>
          <w:rFonts w:ascii="Garamond" w:hAnsi="Garamond"/>
        </w:rPr>
        <w:t>’</w:t>
      </w:r>
      <w:r w:rsidRPr="00290308">
        <w:rPr>
          <w:rFonts w:ascii="Garamond" w:hAnsi="Garamond"/>
        </w:rPr>
        <w:t>un arrêt de manquement n</w:t>
      </w:r>
      <w:r w:rsidR="00F86CA7">
        <w:rPr>
          <w:rFonts w:ascii="Garamond" w:hAnsi="Garamond"/>
        </w:rPr>
        <w:t>’</w:t>
      </w:r>
      <w:r w:rsidRPr="00290308">
        <w:rPr>
          <w:rFonts w:ascii="Garamond" w:hAnsi="Garamond"/>
        </w:rPr>
        <w:t>a pas reçu exécution de la part d</w:t>
      </w:r>
      <w:r w:rsidR="00F86CA7">
        <w:rPr>
          <w:rFonts w:ascii="Garamond" w:hAnsi="Garamond"/>
        </w:rPr>
        <w:t>’</w:t>
      </w:r>
      <w:r>
        <w:rPr>
          <w:rFonts w:ascii="Garamond" w:hAnsi="Garamond"/>
        </w:rPr>
        <w:t>un É</w:t>
      </w:r>
      <w:r w:rsidRPr="00290308">
        <w:rPr>
          <w:rFonts w:ascii="Garamond" w:hAnsi="Garamond"/>
        </w:rPr>
        <w:t xml:space="preserve">tat membre, </w:t>
      </w:r>
      <w:r>
        <w:rPr>
          <w:rFonts w:ascii="Garamond" w:hAnsi="Garamond"/>
        </w:rPr>
        <w:t>et décide de prononcer, à son encontre, une astreinte ayant une visée comminatoire, sur le fondement de l</w:t>
      </w:r>
      <w:r w:rsidR="00F86CA7">
        <w:rPr>
          <w:rFonts w:ascii="Garamond" w:hAnsi="Garamond"/>
        </w:rPr>
        <w:t>’</w:t>
      </w:r>
      <w:r>
        <w:rPr>
          <w:rFonts w:ascii="Garamond" w:hAnsi="Garamond"/>
        </w:rPr>
        <w:t>article 260 paragraphe 2 du Traité sur le fonctionnement de l</w:t>
      </w:r>
      <w:r w:rsidR="00F86CA7">
        <w:rPr>
          <w:rFonts w:ascii="Garamond" w:hAnsi="Garamond"/>
        </w:rPr>
        <w:t>’</w:t>
      </w:r>
      <w:r>
        <w:rPr>
          <w:rFonts w:ascii="Garamond" w:hAnsi="Garamond"/>
        </w:rPr>
        <w:t xml:space="preserve">Union européenne. </w:t>
      </w:r>
    </w:p>
    <w:p w14:paraId="4C2D1A43" w14:textId="77777777" w:rsidR="004746BB" w:rsidRDefault="004746BB" w:rsidP="004746BB">
      <w:pPr>
        <w:spacing w:line="252" w:lineRule="auto"/>
        <w:jc w:val="both"/>
        <w:rPr>
          <w:rFonts w:ascii="Garamond" w:hAnsi="Garamond"/>
        </w:rPr>
      </w:pPr>
    </w:p>
    <w:p w14:paraId="795549F6" w14:textId="23E88196" w:rsidR="004746BB" w:rsidRDefault="004746BB" w:rsidP="004746BB">
      <w:pPr>
        <w:spacing w:line="252" w:lineRule="auto"/>
        <w:jc w:val="both"/>
        <w:rPr>
          <w:rFonts w:ascii="Garamond" w:hAnsi="Garamond"/>
        </w:rPr>
      </w:pPr>
      <w:r>
        <w:rPr>
          <w:rFonts w:ascii="Garamond" w:hAnsi="Garamond"/>
        </w:rPr>
        <w:t>En effet, la Cour de justice de l</w:t>
      </w:r>
      <w:r w:rsidR="00F86CA7">
        <w:rPr>
          <w:rFonts w:ascii="Garamond" w:hAnsi="Garamond"/>
        </w:rPr>
        <w:t>’</w:t>
      </w:r>
      <w:r>
        <w:rPr>
          <w:rFonts w:ascii="Garamond" w:hAnsi="Garamond"/>
        </w:rPr>
        <w:t>Union européenne juge, de façon constante, que :</w:t>
      </w:r>
    </w:p>
    <w:p w14:paraId="58036976" w14:textId="77777777" w:rsidR="004746BB" w:rsidRDefault="004746BB" w:rsidP="004746BB">
      <w:pPr>
        <w:spacing w:line="252" w:lineRule="auto"/>
        <w:jc w:val="both"/>
        <w:rPr>
          <w:rFonts w:ascii="Garamond" w:hAnsi="Garamond"/>
        </w:rPr>
      </w:pPr>
    </w:p>
    <w:p w14:paraId="15F1C0E4" w14:textId="3B0E1354" w:rsidR="004746BB" w:rsidRPr="000A61DF" w:rsidRDefault="004746BB" w:rsidP="004746BB">
      <w:pPr>
        <w:spacing w:line="252" w:lineRule="auto"/>
        <w:ind w:left="567"/>
        <w:jc w:val="both"/>
        <w:rPr>
          <w:rFonts w:ascii="Garamond" w:hAnsi="Garamond"/>
          <w:i/>
        </w:rPr>
      </w:pPr>
      <w:r>
        <w:rPr>
          <w:rFonts w:ascii="Garamond" w:hAnsi="Garamond"/>
        </w:rPr>
        <w:t>« </w:t>
      </w:r>
      <w:r w:rsidRPr="000A61DF">
        <w:rPr>
          <w:rFonts w:ascii="Garamond" w:hAnsi="Garamond"/>
          <w:i/>
        </w:rPr>
        <w:t xml:space="preserve">89. Il ressort de la jurisprudence constante de la Cour </w:t>
      </w:r>
      <w:r w:rsidRPr="000A61DF">
        <w:rPr>
          <w:rFonts w:ascii="Garamond" w:hAnsi="Garamond"/>
          <w:i/>
          <w:u w:val="single"/>
        </w:rPr>
        <w:t>que l</w:t>
      </w:r>
      <w:r w:rsidR="00F86CA7">
        <w:rPr>
          <w:rFonts w:ascii="Garamond" w:hAnsi="Garamond"/>
          <w:i/>
          <w:u w:val="single"/>
        </w:rPr>
        <w:t>’</w:t>
      </w:r>
      <w:r w:rsidRPr="000A61DF">
        <w:rPr>
          <w:rFonts w:ascii="Garamond" w:hAnsi="Garamond"/>
          <w:i/>
          <w:u w:val="single"/>
        </w:rPr>
        <w:t>astreinte doit être arrêtée en fonction du degré de persuasion nécessaire</w:t>
      </w:r>
      <w:r w:rsidRPr="000A61DF">
        <w:rPr>
          <w:rFonts w:ascii="Garamond" w:hAnsi="Garamond"/>
          <w:i/>
        </w:rPr>
        <w:t xml:space="preserve"> pour que l</w:t>
      </w:r>
      <w:r w:rsidR="00F86CA7">
        <w:rPr>
          <w:rFonts w:ascii="Garamond" w:hAnsi="Garamond"/>
          <w:i/>
        </w:rPr>
        <w:t>’</w:t>
      </w:r>
      <w:r w:rsidRPr="000A61DF">
        <w:rPr>
          <w:rFonts w:ascii="Garamond" w:hAnsi="Garamond"/>
          <w:i/>
        </w:rPr>
        <w:t>État membre défaillant à exécuter un arrêt en manquement modifie son comportement et mette fin à l</w:t>
      </w:r>
      <w:r w:rsidR="00F86CA7">
        <w:rPr>
          <w:rFonts w:ascii="Garamond" w:hAnsi="Garamond"/>
          <w:i/>
        </w:rPr>
        <w:t>’</w:t>
      </w:r>
      <w:r w:rsidRPr="000A61DF">
        <w:rPr>
          <w:rFonts w:ascii="Garamond" w:hAnsi="Garamond"/>
          <w:i/>
        </w:rPr>
        <w:t>infraction incriminée (arrêt du 22 juin 2016, Commission/Portugal, C</w:t>
      </w:r>
      <w:r w:rsidRPr="000A61DF">
        <w:rPr>
          <w:rFonts w:ascii="Cambria Math" w:hAnsi="Cambria Math" w:cs="Cambria Math"/>
          <w:i/>
        </w:rPr>
        <w:t>‑</w:t>
      </w:r>
      <w:r w:rsidRPr="000A61DF">
        <w:rPr>
          <w:rFonts w:ascii="Garamond" w:hAnsi="Garamond"/>
          <w:i/>
        </w:rPr>
        <w:t>557/14, EU:C:2016:471, point 67 et jurisprudence citée).</w:t>
      </w:r>
    </w:p>
    <w:p w14:paraId="7681A951" w14:textId="77777777" w:rsidR="004746BB" w:rsidRPr="000A61DF" w:rsidRDefault="004746BB" w:rsidP="004746BB">
      <w:pPr>
        <w:spacing w:line="252" w:lineRule="auto"/>
        <w:ind w:left="567"/>
        <w:jc w:val="both"/>
        <w:rPr>
          <w:rFonts w:ascii="Garamond" w:hAnsi="Garamond"/>
          <w:i/>
        </w:rPr>
      </w:pPr>
    </w:p>
    <w:p w14:paraId="674974FF" w14:textId="25DDDFCF" w:rsidR="004746BB" w:rsidRDefault="004746BB" w:rsidP="004746BB">
      <w:pPr>
        <w:spacing w:line="252" w:lineRule="auto"/>
        <w:ind w:left="567"/>
        <w:jc w:val="both"/>
        <w:rPr>
          <w:rFonts w:ascii="Garamond" w:hAnsi="Garamond"/>
        </w:rPr>
      </w:pPr>
      <w:r w:rsidRPr="000A61DF">
        <w:rPr>
          <w:rFonts w:ascii="Garamond" w:hAnsi="Garamond"/>
          <w:i/>
        </w:rPr>
        <w:t>90. Dans l</w:t>
      </w:r>
      <w:r w:rsidR="00F86CA7">
        <w:rPr>
          <w:rFonts w:ascii="Garamond" w:hAnsi="Garamond"/>
          <w:i/>
        </w:rPr>
        <w:t>’</w:t>
      </w:r>
      <w:r w:rsidRPr="000A61DF">
        <w:rPr>
          <w:rFonts w:ascii="Garamond" w:hAnsi="Garamond"/>
          <w:i/>
        </w:rPr>
        <w:t>exercice de son pouvoir d</w:t>
      </w:r>
      <w:r w:rsidR="00F86CA7">
        <w:rPr>
          <w:rFonts w:ascii="Garamond" w:hAnsi="Garamond"/>
          <w:i/>
        </w:rPr>
        <w:t>’</w:t>
      </w:r>
      <w:r w:rsidRPr="000A61DF">
        <w:rPr>
          <w:rFonts w:ascii="Garamond" w:hAnsi="Garamond"/>
          <w:i/>
        </w:rPr>
        <w:t>appréciation en la matière, il incombe à la Cour de fixer l</w:t>
      </w:r>
      <w:r w:rsidR="00F86CA7">
        <w:rPr>
          <w:rFonts w:ascii="Garamond" w:hAnsi="Garamond"/>
          <w:i/>
        </w:rPr>
        <w:t>’</w:t>
      </w:r>
      <w:r w:rsidRPr="000A61DF">
        <w:rPr>
          <w:rFonts w:ascii="Garamond" w:hAnsi="Garamond"/>
          <w:i/>
        </w:rPr>
        <w:t>astreinte, de sorte que celle</w:t>
      </w:r>
      <w:r w:rsidRPr="000A61DF">
        <w:rPr>
          <w:rFonts w:ascii="Cambria Math" w:hAnsi="Cambria Math" w:cs="Cambria Math"/>
          <w:i/>
        </w:rPr>
        <w:t>‑</w:t>
      </w:r>
      <w:r w:rsidRPr="000A61DF">
        <w:rPr>
          <w:rFonts w:ascii="Garamond" w:hAnsi="Garamond"/>
          <w:i/>
        </w:rPr>
        <w:t>ci soit, d</w:t>
      </w:r>
      <w:r w:rsidR="00F86CA7">
        <w:rPr>
          <w:rFonts w:ascii="Garamond" w:hAnsi="Garamond"/>
          <w:i/>
        </w:rPr>
        <w:t>’</w:t>
      </w:r>
      <w:r w:rsidRPr="000A61DF">
        <w:rPr>
          <w:rFonts w:ascii="Garamond" w:hAnsi="Garamond"/>
          <w:i/>
        </w:rPr>
        <w:t xml:space="preserve">une part, </w:t>
      </w:r>
      <w:r w:rsidRPr="000A61DF">
        <w:rPr>
          <w:rFonts w:ascii="Garamond" w:hAnsi="Garamond"/>
          <w:i/>
          <w:u w:val="single"/>
        </w:rPr>
        <w:t>adaptée aux circonstances</w:t>
      </w:r>
      <w:r w:rsidRPr="000A61DF">
        <w:rPr>
          <w:rFonts w:ascii="Garamond" w:hAnsi="Garamond"/>
          <w:i/>
        </w:rPr>
        <w:t xml:space="preserve"> et, d</w:t>
      </w:r>
      <w:r w:rsidR="00F86CA7">
        <w:rPr>
          <w:rFonts w:ascii="Garamond" w:hAnsi="Garamond"/>
          <w:i/>
        </w:rPr>
        <w:t>’</w:t>
      </w:r>
      <w:r w:rsidRPr="000A61DF">
        <w:rPr>
          <w:rFonts w:ascii="Garamond" w:hAnsi="Garamond"/>
          <w:i/>
        </w:rPr>
        <w:t xml:space="preserve">autre part, </w:t>
      </w:r>
      <w:r w:rsidRPr="000A61DF">
        <w:rPr>
          <w:rFonts w:ascii="Garamond" w:hAnsi="Garamond"/>
          <w:i/>
          <w:u w:val="single"/>
        </w:rPr>
        <w:t>proportionnée au manquement constaté</w:t>
      </w:r>
      <w:r w:rsidRPr="000A61DF">
        <w:rPr>
          <w:rFonts w:ascii="Garamond" w:hAnsi="Garamond"/>
          <w:i/>
        </w:rPr>
        <w:t xml:space="preserve"> ainsi qu</w:t>
      </w:r>
      <w:r w:rsidR="00F86CA7">
        <w:rPr>
          <w:rFonts w:ascii="Garamond" w:hAnsi="Garamond"/>
          <w:i/>
        </w:rPr>
        <w:t>’</w:t>
      </w:r>
      <w:r w:rsidRPr="000A61DF">
        <w:rPr>
          <w:rFonts w:ascii="Garamond" w:hAnsi="Garamond"/>
          <w:i/>
        </w:rPr>
        <w:t xml:space="preserve">à la </w:t>
      </w:r>
      <w:r w:rsidRPr="000A61DF">
        <w:rPr>
          <w:rFonts w:ascii="Garamond" w:hAnsi="Garamond"/>
          <w:i/>
          <w:u w:val="single"/>
        </w:rPr>
        <w:t>capacité de paiement</w:t>
      </w:r>
      <w:r w:rsidRPr="000A61DF">
        <w:rPr>
          <w:rFonts w:ascii="Garamond" w:hAnsi="Garamond"/>
          <w:i/>
        </w:rPr>
        <w:t xml:space="preserve"> de l</w:t>
      </w:r>
      <w:r w:rsidR="00F86CA7">
        <w:rPr>
          <w:rFonts w:ascii="Garamond" w:hAnsi="Garamond"/>
          <w:i/>
        </w:rPr>
        <w:t>’</w:t>
      </w:r>
      <w:r w:rsidRPr="000A61DF">
        <w:rPr>
          <w:rFonts w:ascii="Garamond" w:hAnsi="Garamond"/>
          <w:i/>
        </w:rPr>
        <w:t>État membre concerné (arrêt du 22 juin 2016, Commission/Portugal, C</w:t>
      </w:r>
      <w:r w:rsidRPr="000A61DF">
        <w:rPr>
          <w:rFonts w:ascii="Cambria Math" w:hAnsi="Cambria Math" w:cs="Cambria Math"/>
          <w:i/>
        </w:rPr>
        <w:t>‑</w:t>
      </w:r>
      <w:r w:rsidRPr="000A61DF">
        <w:rPr>
          <w:rFonts w:ascii="Garamond" w:hAnsi="Garamond"/>
          <w:i/>
        </w:rPr>
        <w:t>557/14, EU:C:2016:471, point 68).</w:t>
      </w:r>
      <w:r>
        <w:rPr>
          <w:rFonts w:ascii="Garamond" w:hAnsi="Garamond"/>
        </w:rPr>
        <w:t xml:space="preserve"> […]</w:t>
      </w:r>
    </w:p>
    <w:p w14:paraId="081A3C1F" w14:textId="77777777" w:rsidR="004746BB" w:rsidRDefault="004746BB" w:rsidP="004746BB">
      <w:pPr>
        <w:spacing w:line="252" w:lineRule="auto"/>
        <w:ind w:left="567"/>
        <w:jc w:val="both"/>
        <w:rPr>
          <w:rFonts w:ascii="Garamond" w:hAnsi="Garamond"/>
        </w:rPr>
      </w:pPr>
    </w:p>
    <w:p w14:paraId="718130CC" w14:textId="3163C3DE" w:rsidR="004746BB" w:rsidRDefault="004746BB" w:rsidP="004746BB">
      <w:pPr>
        <w:spacing w:line="252" w:lineRule="auto"/>
        <w:ind w:left="567"/>
        <w:jc w:val="both"/>
        <w:rPr>
          <w:rFonts w:ascii="Garamond" w:hAnsi="Garamond"/>
        </w:rPr>
      </w:pPr>
      <w:r w:rsidRPr="000A61DF">
        <w:rPr>
          <w:rFonts w:ascii="Garamond" w:hAnsi="Garamond"/>
          <w:i/>
        </w:rPr>
        <w:t>92. Aux fins de la fixation du montant de l</w:t>
      </w:r>
      <w:r w:rsidR="00F86CA7">
        <w:rPr>
          <w:rFonts w:ascii="Garamond" w:hAnsi="Garamond"/>
          <w:i/>
        </w:rPr>
        <w:t>’</w:t>
      </w:r>
      <w:r w:rsidRPr="000A61DF">
        <w:rPr>
          <w:rFonts w:ascii="Garamond" w:hAnsi="Garamond"/>
          <w:i/>
        </w:rPr>
        <w:t>astreinte, les critères de base qui doivent être pris en considération pour assurer la nature coercitive de cette dernière, en vue d</w:t>
      </w:r>
      <w:r w:rsidR="00F86CA7">
        <w:rPr>
          <w:rFonts w:ascii="Garamond" w:hAnsi="Garamond"/>
          <w:i/>
        </w:rPr>
        <w:t>’</w:t>
      </w:r>
      <w:r w:rsidRPr="000A61DF">
        <w:rPr>
          <w:rFonts w:ascii="Garamond" w:hAnsi="Garamond"/>
          <w:i/>
        </w:rPr>
        <w:t>une application uniforme et effective du droit de l</w:t>
      </w:r>
      <w:r w:rsidR="00F86CA7">
        <w:rPr>
          <w:rFonts w:ascii="Garamond" w:hAnsi="Garamond"/>
          <w:i/>
        </w:rPr>
        <w:t>’</w:t>
      </w:r>
      <w:r w:rsidRPr="000A61DF">
        <w:rPr>
          <w:rFonts w:ascii="Garamond" w:hAnsi="Garamond"/>
          <w:i/>
        </w:rPr>
        <w:t xml:space="preserve">Union, sont, en principe, la </w:t>
      </w:r>
      <w:r w:rsidRPr="000A61DF">
        <w:rPr>
          <w:rFonts w:ascii="Garamond" w:hAnsi="Garamond"/>
          <w:i/>
          <w:u w:val="single"/>
        </w:rPr>
        <w:t>gravité de l</w:t>
      </w:r>
      <w:r w:rsidR="00F86CA7">
        <w:rPr>
          <w:rFonts w:ascii="Garamond" w:hAnsi="Garamond"/>
          <w:i/>
          <w:u w:val="single"/>
        </w:rPr>
        <w:t>’</w:t>
      </w:r>
      <w:r w:rsidRPr="000A61DF">
        <w:rPr>
          <w:rFonts w:ascii="Garamond" w:hAnsi="Garamond"/>
          <w:i/>
          <w:u w:val="single"/>
        </w:rPr>
        <w:t>infraction</w:t>
      </w:r>
      <w:r w:rsidRPr="000A61DF">
        <w:rPr>
          <w:rFonts w:ascii="Garamond" w:hAnsi="Garamond"/>
          <w:i/>
        </w:rPr>
        <w:t xml:space="preserve">, sa </w:t>
      </w:r>
      <w:r w:rsidRPr="000A61DF">
        <w:rPr>
          <w:rFonts w:ascii="Garamond" w:hAnsi="Garamond"/>
          <w:i/>
          <w:u w:val="single"/>
        </w:rPr>
        <w:t>durée</w:t>
      </w:r>
      <w:r w:rsidRPr="000A61DF">
        <w:rPr>
          <w:rFonts w:ascii="Garamond" w:hAnsi="Garamond"/>
          <w:i/>
        </w:rPr>
        <w:t xml:space="preserve"> et la </w:t>
      </w:r>
      <w:r w:rsidRPr="000A61DF">
        <w:rPr>
          <w:rFonts w:ascii="Garamond" w:hAnsi="Garamond"/>
          <w:i/>
          <w:u w:val="single"/>
        </w:rPr>
        <w:t>capacité de paiement de l</w:t>
      </w:r>
      <w:r w:rsidR="00F86CA7">
        <w:rPr>
          <w:rFonts w:ascii="Garamond" w:hAnsi="Garamond"/>
          <w:i/>
          <w:u w:val="single"/>
        </w:rPr>
        <w:t>’</w:t>
      </w:r>
      <w:r w:rsidRPr="000A61DF">
        <w:rPr>
          <w:rFonts w:ascii="Garamond" w:hAnsi="Garamond"/>
          <w:i/>
          <w:u w:val="single"/>
        </w:rPr>
        <w:t>État membre en cause</w:t>
      </w:r>
      <w:r w:rsidRPr="000A61DF">
        <w:rPr>
          <w:rFonts w:ascii="Garamond" w:hAnsi="Garamond"/>
          <w:i/>
        </w:rPr>
        <w:t>. Pour l</w:t>
      </w:r>
      <w:r w:rsidR="00F86CA7">
        <w:rPr>
          <w:rFonts w:ascii="Garamond" w:hAnsi="Garamond"/>
          <w:i/>
        </w:rPr>
        <w:t>’</w:t>
      </w:r>
      <w:r w:rsidRPr="000A61DF">
        <w:rPr>
          <w:rFonts w:ascii="Garamond" w:hAnsi="Garamond"/>
          <w:i/>
        </w:rPr>
        <w:t xml:space="preserve">application de ces critères, il y a lieu de tenir compte, en particulier, des </w:t>
      </w:r>
      <w:r w:rsidRPr="000A61DF">
        <w:rPr>
          <w:rFonts w:ascii="Garamond" w:hAnsi="Garamond"/>
          <w:i/>
          <w:u w:val="single"/>
        </w:rPr>
        <w:t>conséquences du défaut d</w:t>
      </w:r>
      <w:r w:rsidR="00F86CA7">
        <w:rPr>
          <w:rFonts w:ascii="Garamond" w:hAnsi="Garamond"/>
          <w:i/>
          <w:u w:val="single"/>
        </w:rPr>
        <w:t>’</w:t>
      </w:r>
      <w:r w:rsidRPr="000A61DF">
        <w:rPr>
          <w:rFonts w:ascii="Garamond" w:hAnsi="Garamond"/>
          <w:i/>
          <w:u w:val="single"/>
        </w:rPr>
        <w:t>exécution</w:t>
      </w:r>
      <w:r w:rsidRPr="000A61DF">
        <w:rPr>
          <w:rFonts w:ascii="Garamond" w:hAnsi="Garamond"/>
          <w:i/>
        </w:rPr>
        <w:t xml:space="preserve"> sur les intérêts privés et publics ainsi que de l</w:t>
      </w:r>
      <w:r w:rsidR="00F86CA7">
        <w:rPr>
          <w:rFonts w:ascii="Garamond" w:hAnsi="Garamond"/>
          <w:i/>
        </w:rPr>
        <w:t>’</w:t>
      </w:r>
      <w:r w:rsidRPr="000A61DF">
        <w:rPr>
          <w:rFonts w:ascii="Garamond" w:hAnsi="Garamond"/>
          <w:i/>
          <w:u w:val="single"/>
        </w:rPr>
        <w:t>urgence</w:t>
      </w:r>
      <w:r w:rsidRPr="000A61DF">
        <w:rPr>
          <w:rFonts w:ascii="Garamond" w:hAnsi="Garamond"/>
          <w:i/>
        </w:rPr>
        <w:t xml:space="preserve"> qu</w:t>
      </w:r>
      <w:r w:rsidR="00F86CA7">
        <w:rPr>
          <w:rFonts w:ascii="Garamond" w:hAnsi="Garamond"/>
          <w:i/>
        </w:rPr>
        <w:t>’</w:t>
      </w:r>
      <w:r w:rsidRPr="000A61DF">
        <w:rPr>
          <w:rFonts w:ascii="Garamond" w:hAnsi="Garamond"/>
          <w:i/>
        </w:rPr>
        <w:t>il y a à ce que l</w:t>
      </w:r>
      <w:r w:rsidR="00F86CA7">
        <w:rPr>
          <w:rFonts w:ascii="Garamond" w:hAnsi="Garamond"/>
          <w:i/>
        </w:rPr>
        <w:t>’</w:t>
      </w:r>
      <w:r w:rsidRPr="000A61DF">
        <w:rPr>
          <w:rFonts w:ascii="Garamond" w:hAnsi="Garamond"/>
          <w:i/>
        </w:rPr>
        <w:t>État membre concerné se conforme à ses obligations (arrêt du 22 juin 2016, Commission/Portugal, C</w:t>
      </w:r>
      <w:r w:rsidRPr="000A61DF">
        <w:rPr>
          <w:rFonts w:ascii="Cambria Math" w:hAnsi="Cambria Math" w:cs="Cambria Math"/>
          <w:i/>
        </w:rPr>
        <w:t>‑</w:t>
      </w:r>
      <w:r w:rsidRPr="000A61DF">
        <w:rPr>
          <w:rFonts w:ascii="Garamond" w:hAnsi="Garamond"/>
          <w:i/>
        </w:rPr>
        <w:t>557/14, EU:C:2016:471, point 70)</w:t>
      </w:r>
      <w:r>
        <w:rPr>
          <w:rFonts w:ascii="Garamond" w:hAnsi="Garamond"/>
        </w:rPr>
        <w:t xml:space="preserve"> » (CJUE, 22 février 2018, </w:t>
      </w:r>
      <w:r w:rsidRPr="000A61DF">
        <w:rPr>
          <w:rFonts w:ascii="Garamond" w:hAnsi="Garamond"/>
          <w:i/>
        </w:rPr>
        <w:t>Commission c. Grèce</w:t>
      </w:r>
      <w:r>
        <w:rPr>
          <w:rFonts w:ascii="Garamond" w:hAnsi="Garamond"/>
        </w:rPr>
        <w:t xml:space="preserve">, aff. C-328/16 ; voir également : CJUE, 12 juillet 2005, </w:t>
      </w:r>
      <w:r w:rsidRPr="000A61DF">
        <w:rPr>
          <w:rFonts w:ascii="Garamond" w:hAnsi="Garamond"/>
          <w:i/>
        </w:rPr>
        <w:t>Commission c. France</w:t>
      </w:r>
      <w:r>
        <w:rPr>
          <w:rFonts w:ascii="Garamond" w:hAnsi="Garamond"/>
        </w:rPr>
        <w:t xml:space="preserve">, aff. C-304/02, § 103-104 ; CJUE, 8 juillet 2019, </w:t>
      </w:r>
      <w:r w:rsidRPr="005A5304">
        <w:rPr>
          <w:rFonts w:ascii="Garamond" w:hAnsi="Garamond"/>
          <w:i/>
        </w:rPr>
        <w:t>Commission c. Belgique</w:t>
      </w:r>
      <w:r>
        <w:rPr>
          <w:rFonts w:ascii="Garamond" w:hAnsi="Garamond"/>
        </w:rPr>
        <w:t xml:space="preserve">, aff. C-543/17 ; CJUE, 25 février 2021, </w:t>
      </w:r>
      <w:r w:rsidRPr="005A5304">
        <w:rPr>
          <w:rFonts w:ascii="Garamond" w:hAnsi="Garamond"/>
          <w:i/>
        </w:rPr>
        <w:t>Commission c. Espagne</w:t>
      </w:r>
      <w:r>
        <w:rPr>
          <w:rFonts w:ascii="Garamond" w:hAnsi="Garamond"/>
        </w:rPr>
        <w:t xml:space="preserve">, aff. C-658/19). </w:t>
      </w:r>
    </w:p>
    <w:p w14:paraId="043A0384" w14:textId="77777777" w:rsidR="004746BB" w:rsidRDefault="004746BB" w:rsidP="004746BB">
      <w:pPr>
        <w:spacing w:line="252" w:lineRule="auto"/>
        <w:jc w:val="both"/>
        <w:rPr>
          <w:rFonts w:ascii="Garamond" w:hAnsi="Garamond"/>
        </w:rPr>
      </w:pPr>
    </w:p>
    <w:p w14:paraId="742C2F12" w14:textId="2DCF8F8E" w:rsidR="004746BB" w:rsidRPr="004746BB" w:rsidRDefault="004746BB" w:rsidP="004746BB">
      <w:pPr>
        <w:spacing w:line="252" w:lineRule="auto"/>
        <w:jc w:val="both"/>
        <w:rPr>
          <w:rFonts w:ascii="Garamond" w:hAnsi="Garamond"/>
        </w:rPr>
      </w:pPr>
      <w:r>
        <w:rPr>
          <w:rFonts w:ascii="Garamond" w:hAnsi="Garamond"/>
        </w:rPr>
        <w:lastRenderedPageBreak/>
        <w:t>Et dans ce cadre, la Cour de justice retient que l</w:t>
      </w:r>
      <w:r w:rsidR="00F86CA7">
        <w:rPr>
          <w:rFonts w:ascii="Garamond" w:hAnsi="Garamond"/>
        </w:rPr>
        <w:t>’</w:t>
      </w:r>
      <w:r>
        <w:rPr>
          <w:rFonts w:ascii="Garamond" w:hAnsi="Garamond"/>
        </w:rPr>
        <w:t>atteinte à l</w:t>
      </w:r>
      <w:r w:rsidR="00F86CA7">
        <w:rPr>
          <w:rFonts w:ascii="Garamond" w:hAnsi="Garamond"/>
        </w:rPr>
        <w:t>’</w:t>
      </w:r>
      <w:r>
        <w:rPr>
          <w:rFonts w:ascii="Garamond" w:hAnsi="Garamond"/>
        </w:rPr>
        <w:t xml:space="preserve">environnement constitue un critère aggravant, justifiant la fixation de </w:t>
      </w:r>
      <w:r w:rsidRPr="000A61DF">
        <w:rPr>
          <w:rFonts w:ascii="Garamond" w:hAnsi="Garamond"/>
        </w:rPr>
        <w:t xml:space="preserve">montants </w:t>
      </w:r>
      <w:r>
        <w:rPr>
          <w:rFonts w:ascii="Garamond" w:hAnsi="Garamond"/>
        </w:rPr>
        <w:t>d</w:t>
      </w:r>
      <w:r w:rsidR="00F86CA7">
        <w:rPr>
          <w:rFonts w:ascii="Garamond" w:hAnsi="Garamond"/>
        </w:rPr>
        <w:t>’</w:t>
      </w:r>
      <w:r>
        <w:rPr>
          <w:rFonts w:ascii="Garamond" w:hAnsi="Garamond"/>
        </w:rPr>
        <w:t xml:space="preserve">astreinte particulièrement </w:t>
      </w:r>
      <w:r w:rsidRPr="000A61DF">
        <w:rPr>
          <w:rFonts w:ascii="Garamond" w:hAnsi="Garamond"/>
        </w:rPr>
        <w:t>élevés</w:t>
      </w:r>
      <w:r>
        <w:rPr>
          <w:rFonts w:ascii="Garamond" w:hAnsi="Garamond"/>
        </w:rPr>
        <w:t xml:space="preserve"> (en ce sens, voir, par exemple : CJUE, 15 octobre 2015, </w:t>
      </w:r>
      <w:r w:rsidRPr="005A5304">
        <w:rPr>
          <w:rFonts w:ascii="Garamond" w:hAnsi="Garamond"/>
          <w:i/>
        </w:rPr>
        <w:t>Commission c. Grèce</w:t>
      </w:r>
      <w:r>
        <w:rPr>
          <w:rFonts w:ascii="Garamond" w:hAnsi="Garamond"/>
        </w:rPr>
        <w:t xml:space="preserve">, aff. C-167/14 ; CJUE, 7 septembre 2016, </w:t>
      </w:r>
      <w:r w:rsidRPr="005A5304">
        <w:rPr>
          <w:rFonts w:ascii="Garamond" w:hAnsi="Garamond"/>
          <w:i/>
        </w:rPr>
        <w:t>Commission c. Grèce</w:t>
      </w:r>
      <w:r>
        <w:rPr>
          <w:rFonts w:ascii="Garamond" w:hAnsi="Garamond"/>
        </w:rPr>
        <w:t xml:space="preserve">, aff. 584.14 ; CJUE, 22 février 2018, </w:t>
      </w:r>
      <w:r w:rsidRPr="003B2BC3">
        <w:rPr>
          <w:rFonts w:ascii="Garamond" w:hAnsi="Garamond"/>
          <w:i/>
        </w:rPr>
        <w:t>Commission c. Grèce</w:t>
      </w:r>
      <w:r>
        <w:rPr>
          <w:rFonts w:ascii="Garamond" w:hAnsi="Garamond"/>
        </w:rPr>
        <w:t xml:space="preserve">, aff. C-328/16 ; CJUE, 12 novembre 2019, </w:t>
      </w:r>
      <w:r w:rsidRPr="005A5304">
        <w:rPr>
          <w:rFonts w:ascii="Garamond" w:hAnsi="Garamond"/>
          <w:i/>
        </w:rPr>
        <w:t>Commission c. Irlande</w:t>
      </w:r>
      <w:r>
        <w:rPr>
          <w:rFonts w:ascii="Garamond" w:hAnsi="Garamond"/>
        </w:rPr>
        <w:t xml:space="preserve">, aff. C-261/18). </w:t>
      </w:r>
    </w:p>
    <w:p w14:paraId="24A08770" w14:textId="77777777" w:rsidR="004746BB" w:rsidRPr="005A5304" w:rsidRDefault="004746BB" w:rsidP="004746BB">
      <w:pPr>
        <w:spacing w:line="252" w:lineRule="auto"/>
        <w:jc w:val="both"/>
        <w:rPr>
          <w:rFonts w:ascii="Garamond" w:hAnsi="Garamond"/>
          <w:color w:val="000000" w:themeColor="text1"/>
        </w:rPr>
      </w:pPr>
    </w:p>
    <w:p w14:paraId="3D789CE5" w14:textId="77777777" w:rsidR="004746BB" w:rsidRDefault="004746BB" w:rsidP="004746BB">
      <w:pPr>
        <w:spacing w:line="252" w:lineRule="auto"/>
        <w:jc w:val="both"/>
        <w:rPr>
          <w:rFonts w:ascii="Garamond" w:hAnsi="Garamond"/>
        </w:rPr>
      </w:pPr>
      <w:r>
        <w:rPr>
          <w:rFonts w:ascii="Garamond" w:hAnsi="Garamond"/>
        </w:rPr>
        <w:t xml:space="preserve">Ces principes sont pleinement applicables à la présente affaire. </w:t>
      </w:r>
    </w:p>
    <w:p w14:paraId="5727C26D" w14:textId="77777777" w:rsidR="004746BB" w:rsidRDefault="004746BB" w:rsidP="004746BB">
      <w:pPr>
        <w:spacing w:line="252" w:lineRule="auto"/>
        <w:jc w:val="both"/>
        <w:rPr>
          <w:rFonts w:ascii="Garamond" w:hAnsi="Garamond"/>
        </w:rPr>
      </w:pPr>
    </w:p>
    <w:p w14:paraId="58B531AD" w14:textId="77777777" w:rsidR="004746BB" w:rsidRDefault="004746BB" w:rsidP="004746BB">
      <w:pPr>
        <w:spacing w:line="252" w:lineRule="auto"/>
        <w:jc w:val="both"/>
        <w:rPr>
          <w:rFonts w:ascii="Garamond" w:hAnsi="Garamond"/>
        </w:rPr>
      </w:pPr>
    </w:p>
    <w:p w14:paraId="0759A79D" w14:textId="77777777" w:rsidR="004746BB" w:rsidRDefault="004746BB" w:rsidP="004746BB">
      <w:pPr>
        <w:tabs>
          <w:tab w:val="left" w:pos="6440"/>
        </w:tabs>
        <w:spacing w:line="252" w:lineRule="auto"/>
        <w:jc w:val="both"/>
        <w:rPr>
          <w:rFonts w:ascii="Garamond" w:hAnsi="Garamond"/>
          <w:color w:val="000000" w:themeColor="text1"/>
        </w:rPr>
      </w:pPr>
    </w:p>
    <w:p w14:paraId="157FEC8F" w14:textId="6C807071" w:rsidR="004746BB" w:rsidRPr="00A76C93" w:rsidRDefault="004746BB" w:rsidP="004746BB">
      <w:pPr>
        <w:pStyle w:val="Titre2"/>
        <w:spacing w:line="252" w:lineRule="auto"/>
        <w:ind w:left="851" w:right="0" w:hanging="851"/>
        <w:jc w:val="both"/>
        <w:rPr>
          <w:rFonts w:ascii="Garamond" w:hAnsi="Garamond"/>
          <w:i/>
          <w:iCs/>
          <w:color w:val="000000" w:themeColor="text1"/>
          <w:sz w:val="24"/>
          <w:szCs w:val="24"/>
          <w:u w:val="single"/>
        </w:rPr>
      </w:pPr>
      <w:r w:rsidRPr="00F64650">
        <w:rPr>
          <w:rFonts w:ascii="Garamond" w:hAnsi="Garamond"/>
          <w:smallCaps/>
          <w:color w:val="000000" w:themeColor="text1"/>
          <w:sz w:val="24"/>
          <w:szCs w:val="24"/>
        </w:rPr>
        <w:t>II.</w:t>
      </w:r>
      <w:r>
        <w:rPr>
          <w:rFonts w:ascii="Garamond" w:hAnsi="Garamond"/>
          <w:smallCaps/>
          <w:color w:val="000000" w:themeColor="text1"/>
          <w:sz w:val="24"/>
          <w:szCs w:val="24"/>
        </w:rPr>
        <w:t>A</w:t>
      </w:r>
      <w:r w:rsidRPr="00F64650">
        <w:rPr>
          <w:rFonts w:ascii="Garamond" w:hAnsi="Garamond"/>
          <w:smallCaps/>
          <w:color w:val="000000" w:themeColor="text1"/>
          <w:sz w:val="24"/>
          <w:szCs w:val="24"/>
        </w:rPr>
        <w:t xml:space="preserve">] </w:t>
      </w:r>
      <w:r w:rsidRPr="00F64650">
        <w:rPr>
          <w:rFonts w:ascii="Garamond" w:hAnsi="Garamond"/>
          <w:smallCaps/>
          <w:color w:val="000000" w:themeColor="text1"/>
          <w:sz w:val="24"/>
          <w:szCs w:val="24"/>
        </w:rPr>
        <w:tab/>
      </w:r>
      <w:r>
        <w:rPr>
          <w:rFonts w:ascii="Garamond" w:hAnsi="Garamond"/>
          <w:i/>
          <w:iCs/>
          <w:color w:val="000000" w:themeColor="text1"/>
          <w:sz w:val="24"/>
          <w:szCs w:val="24"/>
          <w:u w:val="single"/>
        </w:rPr>
        <w:t>S</w:t>
      </w:r>
      <w:r w:rsidRPr="00A76C93">
        <w:rPr>
          <w:rFonts w:ascii="Garamond" w:hAnsi="Garamond"/>
          <w:i/>
          <w:iCs/>
          <w:color w:val="000000" w:themeColor="text1"/>
          <w:sz w:val="24"/>
          <w:szCs w:val="24"/>
          <w:u w:val="single"/>
        </w:rPr>
        <w:t xml:space="preserve">ur </w:t>
      </w:r>
      <w:r>
        <w:rPr>
          <w:rFonts w:ascii="Garamond" w:hAnsi="Garamond"/>
          <w:i/>
          <w:iCs/>
          <w:color w:val="000000" w:themeColor="text1"/>
          <w:sz w:val="24"/>
          <w:szCs w:val="24"/>
          <w:u w:val="single"/>
        </w:rPr>
        <w:t>le prononcé d</w:t>
      </w:r>
      <w:r w:rsidR="00F86CA7">
        <w:rPr>
          <w:rFonts w:ascii="Garamond" w:hAnsi="Garamond"/>
          <w:i/>
          <w:iCs/>
          <w:color w:val="000000" w:themeColor="text1"/>
          <w:sz w:val="24"/>
          <w:szCs w:val="24"/>
          <w:u w:val="single"/>
        </w:rPr>
        <w:t>’</w:t>
      </w:r>
      <w:r>
        <w:rPr>
          <w:rFonts w:ascii="Garamond" w:hAnsi="Garamond"/>
          <w:i/>
          <w:iCs/>
          <w:color w:val="000000" w:themeColor="text1"/>
          <w:sz w:val="24"/>
          <w:szCs w:val="24"/>
          <w:u w:val="single"/>
        </w:rPr>
        <w:t>une astreinte</w:t>
      </w:r>
    </w:p>
    <w:p w14:paraId="67A2D81A" w14:textId="77777777" w:rsidR="004746BB" w:rsidRDefault="004746BB" w:rsidP="004746BB">
      <w:pPr>
        <w:spacing w:line="252" w:lineRule="auto"/>
        <w:jc w:val="both"/>
        <w:rPr>
          <w:rFonts w:ascii="Garamond" w:hAnsi="Garamond"/>
        </w:rPr>
      </w:pPr>
    </w:p>
    <w:p w14:paraId="5597B9C1"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38BE0824" w14:textId="77777777" w:rsidR="004746BB" w:rsidRDefault="004746BB" w:rsidP="004746BB">
      <w:pPr>
        <w:spacing w:line="252" w:lineRule="auto"/>
        <w:jc w:val="both"/>
        <w:rPr>
          <w:rFonts w:ascii="Garamond" w:hAnsi="Garamond"/>
          <w:color w:val="000000" w:themeColor="text1"/>
        </w:rPr>
      </w:pPr>
    </w:p>
    <w:p w14:paraId="192AFE3D" w14:textId="69F6B1F0" w:rsidR="004746BB" w:rsidRDefault="004746BB" w:rsidP="004746BB">
      <w:pPr>
        <w:spacing w:line="252" w:lineRule="auto"/>
        <w:jc w:val="both"/>
        <w:rPr>
          <w:rFonts w:ascii="Garamond" w:hAnsi="Garamond"/>
        </w:rPr>
      </w:pPr>
      <w:r w:rsidRPr="006733E2">
        <w:rPr>
          <w:rFonts w:ascii="Garamond" w:hAnsi="Garamond"/>
          <w:u w:val="single"/>
        </w:rPr>
        <w:t>En l</w:t>
      </w:r>
      <w:r w:rsidR="00F86CA7">
        <w:rPr>
          <w:rFonts w:ascii="Garamond" w:hAnsi="Garamond"/>
          <w:u w:val="single"/>
        </w:rPr>
        <w:t>’</w:t>
      </w:r>
      <w:r w:rsidRPr="006733E2">
        <w:rPr>
          <w:rFonts w:ascii="Garamond" w:hAnsi="Garamond"/>
          <w:u w:val="single"/>
        </w:rPr>
        <w:t>espèce</w:t>
      </w:r>
      <w:r>
        <w:rPr>
          <w:rFonts w:ascii="Garamond" w:hAnsi="Garamond"/>
        </w:rPr>
        <w:t>, il apparaît que l</w:t>
      </w:r>
      <w:r w:rsidR="00F86CA7">
        <w:rPr>
          <w:rFonts w:ascii="Garamond" w:hAnsi="Garamond"/>
        </w:rPr>
        <w:t>’</w:t>
      </w:r>
      <w:r>
        <w:rPr>
          <w:rFonts w:ascii="Garamond" w:hAnsi="Garamond"/>
        </w:rPr>
        <w:t>État s</w:t>
      </w:r>
      <w:r w:rsidR="00F86CA7">
        <w:rPr>
          <w:rFonts w:ascii="Garamond" w:hAnsi="Garamond"/>
        </w:rPr>
        <w:t>’</w:t>
      </w:r>
      <w:r>
        <w:rPr>
          <w:rFonts w:ascii="Garamond" w:hAnsi="Garamond"/>
        </w:rPr>
        <w:t>est abstenu d</w:t>
      </w:r>
      <w:r w:rsidR="00F86CA7">
        <w:rPr>
          <w:rFonts w:ascii="Garamond" w:hAnsi="Garamond"/>
        </w:rPr>
        <w:t>’</w:t>
      </w:r>
      <w:r>
        <w:rPr>
          <w:rFonts w:ascii="Garamond" w:hAnsi="Garamond"/>
        </w:rPr>
        <w:t>exécuter, de façon complète, le jugement – devenu définitif – rendu par le Tribunal administratif de Paris le 14 octobre 2021, et n</w:t>
      </w:r>
      <w:r w:rsidR="00F86CA7">
        <w:rPr>
          <w:rFonts w:ascii="Garamond" w:hAnsi="Garamond"/>
        </w:rPr>
        <w:t>’</w:t>
      </w:r>
      <w:r>
        <w:rPr>
          <w:rFonts w:ascii="Garamond" w:hAnsi="Garamond"/>
        </w:rPr>
        <w:t>a pas adopté, dans les délais prescrits par la juridiction, de mesures concrètes sectorielles, spécifiquement destinées à réparer le préjudice écologique lié au surplus d</w:t>
      </w:r>
      <w:r w:rsidR="00F86CA7">
        <w:rPr>
          <w:rFonts w:ascii="Garamond" w:hAnsi="Garamond"/>
        </w:rPr>
        <w:t>’</w:t>
      </w:r>
      <w:r>
        <w:rPr>
          <w:rFonts w:ascii="Garamond" w:hAnsi="Garamond"/>
        </w:rPr>
        <w:t xml:space="preserve">émissions de gaz à effet de serre résultant du dépassement du premier budget carbone et prévenir son aggravation. </w:t>
      </w:r>
    </w:p>
    <w:p w14:paraId="3941870B" w14:textId="77777777" w:rsidR="004746BB" w:rsidRPr="004746BB" w:rsidRDefault="004746BB" w:rsidP="004746BB">
      <w:pPr>
        <w:spacing w:line="252" w:lineRule="auto"/>
        <w:jc w:val="both"/>
        <w:rPr>
          <w:rFonts w:ascii="Garamond" w:hAnsi="Garamond"/>
          <w:color w:val="000000" w:themeColor="text1"/>
        </w:rPr>
      </w:pPr>
    </w:p>
    <w:p w14:paraId="23F7C231" w14:textId="41200C94" w:rsidR="004746BB" w:rsidRPr="004746BB" w:rsidRDefault="004746BB" w:rsidP="004746BB">
      <w:pPr>
        <w:spacing w:line="252" w:lineRule="auto"/>
        <w:jc w:val="both"/>
        <w:rPr>
          <w:rFonts w:ascii="Garamond" w:hAnsi="Garamond"/>
          <w:color w:val="000000" w:themeColor="text1"/>
        </w:rPr>
      </w:pPr>
      <w:r w:rsidRPr="004746BB">
        <w:rPr>
          <w:rFonts w:ascii="Garamond" w:hAnsi="Garamond"/>
          <w:color w:val="000000" w:themeColor="text1"/>
        </w:rPr>
        <w:t>De sorte que l</w:t>
      </w:r>
      <w:r w:rsidR="00F86CA7">
        <w:rPr>
          <w:rFonts w:ascii="Garamond" w:hAnsi="Garamond"/>
          <w:color w:val="000000" w:themeColor="text1"/>
        </w:rPr>
        <w:t>’</w:t>
      </w:r>
      <w:r w:rsidRPr="004746BB">
        <w:rPr>
          <w:rFonts w:ascii="Garamond" w:hAnsi="Garamond"/>
          <w:color w:val="000000" w:themeColor="text1"/>
        </w:rPr>
        <w:t>adoption de mesures supplémentaires, permettant d</w:t>
      </w:r>
      <w:r w:rsidR="00F86CA7">
        <w:rPr>
          <w:rFonts w:ascii="Garamond" w:hAnsi="Garamond"/>
          <w:color w:val="000000" w:themeColor="text1"/>
        </w:rPr>
        <w:t>’</w:t>
      </w:r>
      <w:r w:rsidRPr="004746BB">
        <w:rPr>
          <w:rFonts w:ascii="Garamond" w:hAnsi="Garamond"/>
          <w:color w:val="000000" w:themeColor="text1"/>
        </w:rPr>
        <w:t>assurer l</w:t>
      </w:r>
      <w:r w:rsidR="00F86CA7">
        <w:rPr>
          <w:rFonts w:ascii="Garamond" w:hAnsi="Garamond"/>
          <w:color w:val="000000" w:themeColor="text1"/>
        </w:rPr>
        <w:t>’</w:t>
      </w:r>
      <w:r w:rsidRPr="004746BB">
        <w:rPr>
          <w:rFonts w:ascii="Garamond" w:hAnsi="Garamond"/>
          <w:color w:val="000000" w:themeColor="text1"/>
        </w:rPr>
        <w:t>exécution complète du jugement considéré, s</w:t>
      </w:r>
      <w:r w:rsidR="00F86CA7">
        <w:rPr>
          <w:rFonts w:ascii="Garamond" w:hAnsi="Garamond"/>
          <w:color w:val="000000" w:themeColor="text1"/>
        </w:rPr>
        <w:t>’</w:t>
      </w:r>
      <w:r w:rsidRPr="004746BB">
        <w:rPr>
          <w:rFonts w:ascii="Garamond" w:hAnsi="Garamond"/>
          <w:color w:val="000000" w:themeColor="text1"/>
        </w:rPr>
        <w:t xml:space="preserve">impose.  </w:t>
      </w:r>
    </w:p>
    <w:p w14:paraId="72E19F59" w14:textId="77777777" w:rsidR="004746BB" w:rsidRPr="004746BB" w:rsidRDefault="004746BB" w:rsidP="004746BB">
      <w:pPr>
        <w:spacing w:line="252" w:lineRule="auto"/>
        <w:jc w:val="both"/>
        <w:rPr>
          <w:rFonts w:ascii="Garamond" w:hAnsi="Garamond"/>
          <w:color w:val="000000" w:themeColor="text1"/>
        </w:rPr>
      </w:pPr>
    </w:p>
    <w:p w14:paraId="54AB1975" w14:textId="61A14F58" w:rsidR="004746BB" w:rsidRPr="004746BB" w:rsidRDefault="004746BB" w:rsidP="004746BB">
      <w:pPr>
        <w:spacing w:line="252" w:lineRule="auto"/>
        <w:jc w:val="both"/>
        <w:rPr>
          <w:rFonts w:ascii="Garamond" w:hAnsi="Garamond"/>
          <w:color w:val="000000" w:themeColor="text1"/>
        </w:rPr>
      </w:pPr>
      <w:r w:rsidRPr="004746BB">
        <w:rPr>
          <w:rFonts w:ascii="Garamond" w:hAnsi="Garamond"/>
          <w:color w:val="000000" w:themeColor="text1"/>
        </w:rPr>
        <w:t>À cet égard, l</w:t>
      </w:r>
      <w:r w:rsidR="00F86CA7">
        <w:rPr>
          <w:rFonts w:ascii="Garamond" w:hAnsi="Garamond"/>
          <w:color w:val="000000" w:themeColor="text1"/>
        </w:rPr>
        <w:t>’</w:t>
      </w:r>
      <w:r w:rsidRPr="004746BB">
        <w:rPr>
          <w:rFonts w:ascii="Garamond" w:hAnsi="Garamond"/>
          <w:color w:val="000000" w:themeColor="text1"/>
        </w:rPr>
        <w:t xml:space="preserve">efficacité </w:t>
      </w:r>
      <w:r w:rsidR="00AE5671">
        <w:rPr>
          <w:rFonts w:ascii="Garamond" w:hAnsi="Garamond"/>
          <w:color w:val="000000" w:themeColor="text1"/>
        </w:rPr>
        <w:t>des nouvelles mesures</w:t>
      </w:r>
      <w:r w:rsidRPr="004746BB">
        <w:rPr>
          <w:rFonts w:ascii="Garamond" w:hAnsi="Garamond"/>
          <w:color w:val="000000" w:themeColor="text1"/>
        </w:rPr>
        <w:t xml:space="preserve"> </w:t>
      </w:r>
      <w:r w:rsidR="00AE5671">
        <w:rPr>
          <w:rFonts w:ascii="Garamond" w:hAnsi="Garamond"/>
          <w:color w:val="000000" w:themeColor="text1"/>
        </w:rPr>
        <w:t>qui seront imposées à l</w:t>
      </w:r>
      <w:r w:rsidR="00F86CA7">
        <w:rPr>
          <w:rFonts w:ascii="Garamond" w:hAnsi="Garamond"/>
          <w:color w:val="000000" w:themeColor="text1"/>
        </w:rPr>
        <w:t>’</w:t>
      </w:r>
      <w:r w:rsidR="00AE5671">
        <w:rPr>
          <w:rFonts w:ascii="Garamond" w:hAnsi="Garamond"/>
          <w:color w:val="000000" w:themeColor="text1"/>
        </w:rPr>
        <w:t>État</w:t>
      </w:r>
      <w:r w:rsidRPr="004746BB">
        <w:rPr>
          <w:rFonts w:ascii="Garamond" w:hAnsi="Garamond"/>
          <w:color w:val="000000" w:themeColor="text1"/>
        </w:rPr>
        <w:t xml:space="preserve"> suppose d</w:t>
      </w:r>
      <w:r w:rsidR="00F86CA7">
        <w:rPr>
          <w:rFonts w:ascii="Garamond" w:hAnsi="Garamond"/>
          <w:color w:val="000000" w:themeColor="text1"/>
        </w:rPr>
        <w:t>’</w:t>
      </w:r>
      <w:r w:rsidRPr="004746BB">
        <w:rPr>
          <w:rFonts w:ascii="Garamond" w:hAnsi="Garamond"/>
          <w:color w:val="000000" w:themeColor="text1"/>
        </w:rPr>
        <w:t>intégrer à son action un impératif de rapidité et d</w:t>
      </w:r>
      <w:r w:rsidR="00F86CA7">
        <w:rPr>
          <w:rFonts w:ascii="Garamond" w:hAnsi="Garamond"/>
          <w:color w:val="000000" w:themeColor="text1"/>
        </w:rPr>
        <w:t>’</w:t>
      </w:r>
      <w:r w:rsidRPr="004746BB">
        <w:rPr>
          <w:rFonts w:ascii="Garamond" w:hAnsi="Garamond"/>
          <w:color w:val="000000" w:themeColor="text1"/>
        </w:rPr>
        <w:t xml:space="preserve">urgence. </w:t>
      </w:r>
    </w:p>
    <w:p w14:paraId="42FC8EB8" w14:textId="77777777" w:rsidR="004746BB" w:rsidRPr="004746BB" w:rsidRDefault="004746BB" w:rsidP="004746BB">
      <w:pPr>
        <w:spacing w:line="252" w:lineRule="auto"/>
        <w:jc w:val="both"/>
        <w:rPr>
          <w:rFonts w:ascii="Garamond" w:hAnsi="Garamond"/>
          <w:color w:val="000000" w:themeColor="text1"/>
        </w:rPr>
      </w:pPr>
    </w:p>
    <w:p w14:paraId="6DFC144A" w14:textId="39ED8496" w:rsidR="004746BB" w:rsidRPr="004746BB" w:rsidRDefault="004746BB" w:rsidP="004746BB">
      <w:pPr>
        <w:spacing w:line="252" w:lineRule="auto"/>
        <w:jc w:val="both"/>
        <w:rPr>
          <w:rFonts w:ascii="Garamond" w:hAnsi="Garamond"/>
          <w:color w:val="000000" w:themeColor="text1"/>
        </w:rPr>
      </w:pPr>
      <w:r w:rsidRPr="004746BB">
        <w:rPr>
          <w:rFonts w:ascii="Garamond" w:hAnsi="Garamond"/>
          <w:color w:val="000000" w:themeColor="text1"/>
        </w:rPr>
        <w:t>Cet impératif découle, notamment, du phénomène d</w:t>
      </w:r>
      <w:r w:rsidR="00F86CA7">
        <w:rPr>
          <w:rFonts w:ascii="Garamond" w:hAnsi="Garamond"/>
          <w:color w:val="000000" w:themeColor="text1"/>
        </w:rPr>
        <w:t>’</w:t>
      </w:r>
      <w:r w:rsidRPr="004746BB">
        <w:rPr>
          <w:rFonts w:ascii="Garamond" w:hAnsi="Garamond"/>
          <w:color w:val="000000" w:themeColor="text1"/>
        </w:rPr>
        <w:t>accumulation des surplus d</w:t>
      </w:r>
      <w:r w:rsidR="00F86CA7">
        <w:rPr>
          <w:rFonts w:ascii="Garamond" w:hAnsi="Garamond"/>
          <w:color w:val="000000" w:themeColor="text1"/>
        </w:rPr>
        <w:t>’</w:t>
      </w:r>
      <w:r w:rsidRPr="004746BB">
        <w:rPr>
          <w:rFonts w:ascii="Garamond" w:hAnsi="Garamond"/>
          <w:color w:val="000000" w:themeColor="text1"/>
        </w:rPr>
        <w:t>émissions résultant de la méconnaissance persistante par l</w:t>
      </w:r>
      <w:r w:rsidR="00F86CA7">
        <w:rPr>
          <w:rFonts w:ascii="Garamond" w:hAnsi="Garamond"/>
          <w:color w:val="000000" w:themeColor="text1"/>
        </w:rPr>
        <w:t>’</w:t>
      </w:r>
      <w:r w:rsidRPr="004746BB">
        <w:rPr>
          <w:rFonts w:ascii="Garamond" w:hAnsi="Garamond"/>
          <w:color w:val="000000" w:themeColor="text1"/>
        </w:rPr>
        <w:t>État de ses obligations, et des risques particulièrement graves pour l</w:t>
      </w:r>
      <w:r w:rsidR="00F86CA7">
        <w:rPr>
          <w:rFonts w:ascii="Garamond" w:hAnsi="Garamond"/>
          <w:color w:val="000000" w:themeColor="text1"/>
        </w:rPr>
        <w:t>’</w:t>
      </w:r>
      <w:r w:rsidRPr="004746BB">
        <w:rPr>
          <w:rFonts w:ascii="Garamond" w:hAnsi="Garamond"/>
          <w:color w:val="000000" w:themeColor="text1"/>
        </w:rPr>
        <w:t>environnement, la vie et la santé des individus, liés au changement climatique et, plus précisément, au dépassement des objectifs assignés à la France en matière de réduction des émissions de GES.</w:t>
      </w:r>
    </w:p>
    <w:p w14:paraId="7AA346DA" w14:textId="77777777" w:rsidR="004746BB" w:rsidRPr="004746BB" w:rsidRDefault="004746BB" w:rsidP="004746BB">
      <w:pPr>
        <w:spacing w:line="252" w:lineRule="auto"/>
        <w:jc w:val="both"/>
        <w:rPr>
          <w:rFonts w:ascii="Garamond" w:hAnsi="Garamond"/>
          <w:color w:val="000000" w:themeColor="text1"/>
        </w:rPr>
      </w:pPr>
    </w:p>
    <w:p w14:paraId="64E20FA8" w14:textId="7D94C79E" w:rsidR="004746BB" w:rsidRPr="004746BB" w:rsidRDefault="004746BB" w:rsidP="004746BB">
      <w:pPr>
        <w:spacing w:line="252" w:lineRule="auto"/>
        <w:jc w:val="both"/>
        <w:rPr>
          <w:rFonts w:ascii="Garamond" w:hAnsi="Garamond"/>
          <w:color w:val="000000" w:themeColor="text1"/>
        </w:rPr>
      </w:pPr>
      <w:r w:rsidRPr="004746BB">
        <w:rPr>
          <w:rFonts w:ascii="Garamond" w:hAnsi="Garamond"/>
          <w:color w:val="000000" w:themeColor="text1"/>
        </w:rPr>
        <w:t>Or, force est de constater que, parfaitement informé de ces risques, l</w:t>
      </w:r>
      <w:r w:rsidR="00F86CA7">
        <w:rPr>
          <w:rFonts w:ascii="Garamond" w:hAnsi="Garamond"/>
          <w:color w:val="000000" w:themeColor="text1"/>
        </w:rPr>
        <w:t>’</w:t>
      </w:r>
      <w:r w:rsidRPr="004746BB">
        <w:rPr>
          <w:rFonts w:ascii="Garamond" w:hAnsi="Garamond"/>
          <w:color w:val="000000" w:themeColor="text1"/>
        </w:rPr>
        <w:t>État a persisté à méconnaître ses obligations en matière de lutte contre le changement climatique, et n</w:t>
      </w:r>
      <w:r w:rsidR="00F86CA7">
        <w:rPr>
          <w:rFonts w:ascii="Garamond" w:hAnsi="Garamond"/>
          <w:color w:val="000000" w:themeColor="text1"/>
        </w:rPr>
        <w:t>’</w:t>
      </w:r>
      <w:r w:rsidRPr="004746BB">
        <w:rPr>
          <w:rFonts w:ascii="Garamond" w:hAnsi="Garamond"/>
          <w:color w:val="000000" w:themeColor="text1"/>
        </w:rPr>
        <w:t xml:space="preserve">a pas adopté les mesures nécessaires pour assurer la réparation et la prévention du préjudice écologique constaté par le Tribunal administratif de Paris, avant le 31 décembre 2022. </w:t>
      </w:r>
    </w:p>
    <w:p w14:paraId="1BD41ADA" w14:textId="77777777" w:rsidR="004746BB" w:rsidRPr="004746BB" w:rsidRDefault="004746BB" w:rsidP="004746BB">
      <w:pPr>
        <w:spacing w:line="252" w:lineRule="auto"/>
        <w:jc w:val="both"/>
        <w:rPr>
          <w:rFonts w:ascii="Garamond" w:hAnsi="Garamond"/>
          <w:color w:val="000000" w:themeColor="text1"/>
        </w:rPr>
      </w:pPr>
    </w:p>
    <w:p w14:paraId="0E305E12" w14:textId="1249EC54" w:rsidR="004746BB" w:rsidRPr="004746BB" w:rsidRDefault="004746BB" w:rsidP="004746BB">
      <w:pPr>
        <w:spacing w:line="252" w:lineRule="auto"/>
        <w:jc w:val="both"/>
        <w:rPr>
          <w:rFonts w:ascii="Garamond" w:hAnsi="Garamond"/>
          <w:color w:val="000000" w:themeColor="text1"/>
        </w:rPr>
      </w:pPr>
      <w:r w:rsidRPr="004746BB">
        <w:rPr>
          <w:rFonts w:ascii="Garamond" w:hAnsi="Garamond"/>
          <w:color w:val="000000" w:themeColor="text1"/>
        </w:rPr>
        <w:t>De ce point de vue, Madame Anne BARATIN relevait, dans ses conclusions sur le jugement du 14 octobre 2021, qu</w:t>
      </w:r>
      <w:r w:rsidR="00F86CA7">
        <w:rPr>
          <w:rFonts w:ascii="Garamond" w:hAnsi="Garamond"/>
          <w:color w:val="000000" w:themeColor="text1"/>
        </w:rPr>
        <w:t>’</w:t>
      </w:r>
      <w:r w:rsidRPr="004746BB">
        <w:rPr>
          <w:rFonts w:ascii="Garamond" w:hAnsi="Garamond"/>
          <w:color w:val="000000" w:themeColor="text1"/>
        </w:rPr>
        <w:t>une astreinte « </w:t>
      </w:r>
      <w:r w:rsidRPr="004746BB">
        <w:rPr>
          <w:rFonts w:ascii="Garamond" w:hAnsi="Garamond"/>
          <w:i/>
          <w:iCs/>
          <w:color w:val="000000" w:themeColor="text1"/>
        </w:rPr>
        <w:t>pourrait être prononcée,</w:t>
      </w:r>
      <w:r w:rsidRPr="004746BB">
        <w:rPr>
          <w:rFonts w:ascii="Garamond" w:hAnsi="Garamond"/>
          <w:color w:val="000000" w:themeColor="text1"/>
        </w:rPr>
        <w:t xml:space="preserve"> […] </w:t>
      </w:r>
      <w:r w:rsidRPr="004746BB">
        <w:rPr>
          <w:rFonts w:ascii="Garamond" w:hAnsi="Garamond"/>
          <w:i/>
          <w:iCs/>
          <w:color w:val="000000" w:themeColor="text1"/>
        </w:rPr>
        <w:t>au stade de l</w:t>
      </w:r>
      <w:r w:rsidR="00F86CA7">
        <w:rPr>
          <w:rFonts w:ascii="Garamond" w:hAnsi="Garamond"/>
          <w:i/>
          <w:iCs/>
          <w:color w:val="000000" w:themeColor="text1"/>
        </w:rPr>
        <w:t>’</w:t>
      </w:r>
      <w:r w:rsidRPr="004746BB">
        <w:rPr>
          <w:rFonts w:ascii="Garamond" w:hAnsi="Garamond"/>
          <w:i/>
          <w:iCs/>
          <w:color w:val="000000" w:themeColor="text1"/>
        </w:rPr>
        <w:t>exécution</w:t>
      </w:r>
      <w:r w:rsidRPr="004746BB">
        <w:rPr>
          <w:rFonts w:ascii="Garamond" w:hAnsi="Garamond"/>
          <w:color w:val="000000" w:themeColor="text1"/>
        </w:rPr>
        <w:t xml:space="preserve"> </w:t>
      </w:r>
      <w:r>
        <w:rPr>
          <w:rFonts w:ascii="Garamond" w:hAnsi="Garamond"/>
          <w:color w:val="000000" w:themeColor="text1"/>
        </w:rPr>
        <w:t xml:space="preserve">[du] </w:t>
      </w:r>
      <w:r w:rsidRPr="004746BB">
        <w:rPr>
          <w:rFonts w:ascii="Garamond" w:hAnsi="Garamond"/>
          <w:i/>
          <w:iCs/>
          <w:color w:val="000000" w:themeColor="text1"/>
        </w:rPr>
        <w:t>jugement, dans l</w:t>
      </w:r>
      <w:r w:rsidR="00F86CA7">
        <w:rPr>
          <w:rFonts w:ascii="Garamond" w:hAnsi="Garamond"/>
          <w:i/>
          <w:iCs/>
          <w:color w:val="000000" w:themeColor="text1"/>
        </w:rPr>
        <w:t>’</w:t>
      </w:r>
      <w:r w:rsidRPr="004746BB">
        <w:rPr>
          <w:rFonts w:ascii="Garamond" w:hAnsi="Garamond"/>
          <w:i/>
          <w:iCs/>
          <w:color w:val="000000" w:themeColor="text1"/>
        </w:rPr>
        <w:t>hypothèse où le gouvernement s</w:t>
      </w:r>
      <w:r w:rsidR="00F86CA7">
        <w:rPr>
          <w:rFonts w:ascii="Garamond" w:hAnsi="Garamond"/>
          <w:i/>
          <w:iCs/>
          <w:color w:val="000000" w:themeColor="text1"/>
        </w:rPr>
        <w:t>’</w:t>
      </w:r>
      <w:r w:rsidRPr="004746BB">
        <w:rPr>
          <w:rFonts w:ascii="Garamond" w:hAnsi="Garamond"/>
          <w:i/>
          <w:iCs/>
          <w:color w:val="000000" w:themeColor="text1"/>
        </w:rPr>
        <w:t>abstiendrait de prendre les mesures nécessaires ou ne respecterait pas les délais prescrits pour la compensation du dommage</w:t>
      </w:r>
      <w:r>
        <w:rPr>
          <w:rFonts w:ascii="Garamond" w:hAnsi="Garamond"/>
          <w:color w:val="000000" w:themeColor="text1"/>
        </w:rPr>
        <w:t> » (concl. A. BARATIN sur TA de Paris, 14 octobre 2021, Association Oxfam France, Association Notre Affaire À Tous, Fondation pour la Nature et l</w:t>
      </w:r>
      <w:r w:rsidR="00F86CA7">
        <w:rPr>
          <w:rFonts w:ascii="Garamond" w:hAnsi="Garamond"/>
          <w:color w:val="000000" w:themeColor="text1"/>
        </w:rPr>
        <w:t>’</w:t>
      </w:r>
      <w:r>
        <w:rPr>
          <w:rFonts w:ascii="Garamond" w:hAnsi="Garamond"/>
          <w:color w:val="000000" w:themeColor="text1"/>
        </w:rPr>
        <w:t>Homme, Association Greenpeace France, n</w:t>
      </w:r>
      <w:r w:rsidRPr="004746BB">
        <w:rPr>
          <w:rFonts w:ascii="Garamond" w:hAnsi="Garamond"/>
          <w:color w:val="000000" w:themeColor="text1"/>
          <w:vertAlign w:val="superscript"/>
        </w:rPr>
        <w:t>os</w:t>
      </w:r>
      <w:r>
        <w:rPr>
          <w:rFonts w:ascii="Garamond" w:hAnsi="Garamond"/>
          <w:color w:val="000000" w:themeColor="text1"/>
        </w:rPr>
        <w:t xml:space="preserve"> </w:t>
      </w:r>
      <w:r w:rsidRPr="004746BB">
        <w:rPr>
          <w:rFonts w:ascii="Garamond" w:hAnsi="Garamond"/>
          <w:color w:val="000000" w:themeColor="text1"/>
        </w:rPr>
        <w:t>1904967, 1904968, 1904972, 1904976</w:t>
      </w:r>
      <w:r>
        <w:rPr>
          <w:rFonts w:ascii="Garamond" w:hAnsi="Garamond"/>
          <w:color w:val="000000" w:themeColor="text1"/>
        </w:rPr>
        <w:t xml:space="preserve">). </w:t>
      </w:r>
    </w:p>
    <w:p w14:paraId="5D550E43" w14:textId="77777777" w:rsidR="004746BB" w:rsidRPr="004746BB" w:rsidRDefault="004746BB" w:rsidP="004746BB">
      <w:pPr>
        <w:spacing w:line="252" w:lineRule="auto"/>
        <w:jc w:val="both"/>
        <w:rPr>
          <w:rFonts w:ascii="Garamond" w:hAnsi="Garamond"/>
          <w:color w:val="000000" w:themeColor="text1"/>
        </w:rPr>
      </w:pPr>
    </w:p>
    <w:p w14:paraId="5FF28A82" w14:textId="67AEB00E" w:rsidR="004746BB" w:rsidRPr="004746BB" w:rsidRDefault="004746BB" w:rsidP="004746BB">
      <w:pPr>
        <w:spacing w:line="252" w:lineRule="auto"/>
        <w:jc w:val="both"/>
        <w:rPr>
          <w:rFonts w:ascii="Garamond" w:hAnsi="Garamond"/>
          <w:color w:val="000000" w:themeColor="text1"/>
        </w:rPr>
      </w:pPr>
      <w:r w:rsidRPr="004746BB">
        <w:rPr>
          <w:rFonts w:ascii="Garamond" w:hAnsi="Garamond"/>
          <w:color w:val="000000" w:themeColor="text1"/>
        </w:rPr>
        <w:t xml:space="preserve">Ces conditions sont, désormais, réunies. </w:t>
      </w:r>
    </w:p>
    <w:p w14:paraId="4F7F809D" w14:textId="77777777" w:rsidR="004746BB" w:rsidRPr="004746BB" w:rsidRDefault="004746BB" w:rsidP="004746BB">
      <w:pPr>
        <w:spacing w:line="252" w:lineRule="auto"/>
        <w:jc w:val="both"/>
        <w:rPr>
          <w:rFonts w:ascii="Garamond" w:hAnsi="Garamond"/>
          <w:color w:val="000000" w:themeColor="text1"/>
        </w:rPr>
      </w:pPr>
    </w:p>
    <w:p w14:paraId="0A820735" w14:textId="68DD17FA" w:rsidR="004746BB" w:rsidRDefault="004746BB" w:rsidP="004746BB">
      <w:pPr>
        <w:spacing w:line="252" w:lineRule="auto"/>
        <w:jc w:val="both"/>
        <w:rPr>
          <w:rFonts w:ascii="Garamond" w:hAnsi="Garamond"/>
        </w:rPr>
      </w:pPr>
      <w:r>
        <w:rPr>
          <w:rFonts w:ascii="Garamond" w:hAnsi="Garamond"/>
        </w:rPr>
        <w:t>Dès lors, l</w:t>
      </w:r>
      <w:r w:rsidR="00F86CA7">
        <w:rPr>
          <w:rFonts w:ascii="Garamond" w:hAnsi="Garamond"/>
        </w:rPr>
        <w:t>’</w:t>
      </w:r>
      <w:r>
        <w:rPr>
          <w:rFonts w:ascii="Garamond" w:hAnsi="Garamond"/>
        </w:rPr>
        <w:t>inertie – voire l</w:t>
      </w:r>
      <w:r w:rsidR="00F86CA7">
        <w:rPr>
          <w:rFonts w:ascii="Garamond" w:hAnsi="Garamond"/>
        </w:rPr>
        <w:t>’</w:t>
      </w:r>
      <w:r>
        <w:rPr>
          <w:rFonts w:ascii="Garamond" w:hAnsi="Garamond"/>
        </w:rPr>
        <w:t>abstention – prolongée de l</w:t>
      </w:r>
      <w:r w:rsidR="00F86CA7">
        <w:rPr>
          <w:rFonts w:ascii="Garamond" w:hAnsi="Garamond"/>
        </w:rPr>
        <w:t>’</w:t>
      </w:r>
      <w:r>
        <w:rPr>
          <w:rFonts w:ascii="Garamond" w:hAnsi="Garamond"/>
        </w:rPr>
        <w:t xml:space="preserve">État, </w:t>
      </w:r>
      <w:r w:rsidR="00353E65">
        <w:rPr>
          <w:rFonts w:ascii="Garamond" w:hAnsi="Garamond"/>
        </w:rPr>
        <w:t xml:space="preserve">la méconnaissance du délai prescrit pour assurer la réparation du préjudice écologique, le rythme insuffisant de réduction des émissions de gaz à effet de serre, </w:t>
      </w:r>
      <w:r>
        <w:rPr>
          <w:rFonts w:ascii="Garamond" w:hAnsi="Garamond"/>
        </w:rPr>
        <w:t>l</w:t>
      </w:r>
      <w:r w:rsidR="00F86CA7">
        <w:rPr>
          <w:rFonts w:ascii="Garamond" w:hAnsi="Garamond"/>
        </w:rPr>
        <w:t>’</w:t>
      </w:r>
      <w:r>
        <w:rPr>
          <w:rFonts w:ascii="Garamond" w:hAnsi="Garamond"/>
        </w:rPr>
        <w:t>urgence climatique caractérisée, ainsi que les risques d</w:t>
      </w:r>
      <w:r w:rsidR="00F86CA7">
        <w:rPr>
          <w:rFonts w:ascii="Garamond" w:hAnsi="Garamond"/>
        </w:rPr>
        <w:t>’</w:t>
      </w:r>
      <w:r>
        <w:rPr>
          <w:rFonts w:ascii="Garamond" w:hAnsi="Garamond"/>
        </w:rPr>
        <w:t xml:space="preserve">atteinte grave à </w:t>
      </w:r>
      <w:r>
        <w:rPr>
          <w:rFonts w:ascii="Garamond" w:hAnsi="Garamond"/>
        </w:rPr>
        <w:lastRenderedPageBreak/>
        <w:t>l</w:t>
      </w:r>
      <w:r w:rsidR="00F86CA7">
        <w:rPr>
          <w:rFonts w:ascii="Garamond" w:hAnsi="Garamond"/>
        </w:rPr>
        <w:t>’</w:t>
      </w:r>
      <w:r>
        <w:rPr>
          <w:rFonts w:ascii="Garamond" w:hAnsi="Garamond"/>
        </w:rPr>
        <w:t>environnement et la santé liés au changement climatique, justifient que les mesures d</w:t>
      </w:r>
      <w:r w:rsidR="00F86CA7">
        <w:rPr>
          <w:rFonts w:ascii="Garamond" w:hAnsi="Garamond"/>
        </w:rPr>
        <w:t>’</w:t>
      </w:r>
      <w:r>
        <w:rPr>
          <w:rFonts w:ascii="Garamond" w:hAnsi="Garamond"/>
        </w:rPr>
        <w:t xml:space="preserve">exécution sollicitées par </w:t>
      </w:r>
      <w:r w:rsidRPr="00F906A7">
        <w:rPr>
          <w:rFonts w:ascii="Garamond" w:hAnsi="Garamond"/>
        </w:rPr>
        <w:t>l</w:t>
      </w:r>
      <w:r w:rsidR="00F86CA7">
        <w:rPr>
          <w:rFonts w:ascii="Garamond" w:hAnsi="Garamond"/>
        </w:rPr>
        <w:t>’</w:t>
      </w:r>
      <w:r w:rsidRPr="00F906A7">
        <w:rPr>
          <w:rFonts w:ascii="Garamond" w:hAnsi="Garamond"/>
        </w:rPr>
        <w:t xml:space="preserve">association </w:t>
      </w:r>
      <w:r>
        <w:rPr>
          <w:rFonts w:ascii="Garamond" w:hAnsi="Garamond"/>
        </w:rPr>
        <w:t>requérante soient assorties d</w:t>
      </w:r>
      <w:r w:rsidR="00F86CA7">
        <w:rPr>
          <w:rFonts w:ascii="Garamond" w:hAnsi="Garamond"/>
        </w:rPr>
        <w:t>’</w:t>
      </w:r>
      <w:r>
        <w:rPr>
          <w:rFonts w:ascii="Garamond" w:hAnsi="Garamond"/>
        </w:rPr>
        <w:t>une astreinte, sur le fondement de l</w:t>
      </w:r>
      <w:r w:rsidR="00F86CA7">
        <w:rPr>
          <w:rFonts w:ascii="Garamond" w:hAnsi="Garamond"/>
        </w:rPr>
        <w:t>’</w:t>
      </w:r>
      <w:r>
        <w:rPr>
          <w:rFonts w:ascii="Garamond" w:hAnsi="Garamond"/>
        </w:rPr>
        <w:t>article L. 911-4 du Code de justice administrative, afin d</w:t>
      </w:r>
      <w:r w:rsidR="00F86CA7">
        <w:rPr>
          <w:rFonts w:ascii="Garamond" w:hAnsi="Garamond"/>
        </w:rPr>
        <w:t>’</w:t>
      </w:r>
      <w:r>
        <w:rPr>
          <w:rFonts w:ascii="Garamond" w:hAnsi="Garamond"/>
        </w:rPr>
        <w:t>assurer l</w:t>
      </w:r>
      <w:r w:rsidR="00F86CA7">
        <w:rPr>
          <w:rFonts w:ascii="Garamond" w:hAnsi="Garamond"/>
        </w:rPr>
        <w:t>’</w:t>
      </w:r>
      <w:r>
        <w:rPr>
          <w:rFonts w:ascii="Garamond" w:hAnsi="Garamond"/>
        </w:rPr>
        <w:t>exécution correcte de la chose jugée par le Tribunal administratif de Paris dans son jugement du 14 octobre 2021, et de veiller à l</w:t>
      </w:r>
      <w:r w:rsidR="00F86CA7">
        <w:rPr>
          <w:rFonts w:ascii="Garamond" w:hAnsi="Garamond"/>
        </w:rPr>
        <w:t>’</w:t>
      </w:r>
      <w:r>
        <w:rPr>
          <w:rFonts w:ascii="Garamond" w:hAnsi="Garamond"/>
        </w:rPr>
        <w:t>adoption rapide des mesures d</w:t>
      </w:r>
      <w:r w:rsidR="00F86CA7">
        <w:rPr>
          <w:rFonts w:ascii="Garamond" w:hAnsi="Garamond"/>
        </w:rPr>
        <w:t>’</w:t>
      </w:r>
      <w:r>
        <w:rPr>
          <w:rFonts w:ascii="Garamond" w:hAnsi="Garamond"/>
        </w:rPr>
        <w:t xml:space="preserve">exécution sollicitées. </w:t>
      </w:r>
    </w:p>
    <w:p w14:paraId="395B3E1E" w14:textId="77777777" w:rsidR="004746BB" w:rsidRDefault="004746BB" w:rsidP="004746BB">
      <w:pPr>
        <w:spacing w:line="252" w:lineRule="auto"/>
        <w:jc w:val="both"/>
        <w:rPr>
          <w:rFonts w:ascii="Garamond" w:hAnsi="Garamond"/>
        </w:rPr>
      </w:pPr>
    </w:p>
    <w:p w14:paraId="33372270" w14:textId="77777777" w:rsidR="004746BB" w:rsidRDefault="004746BB" w:rsidP="004746BB">
      <w:pPr>
        <w:tabs>
          <w:tab w:val="left" w:pos="6440"/>
        </w:tabs>
        <w:spacing w:line="252" w:lineRule="auto"/>
        <w:jc w:val="both"/>
        <w:rPr>
          <w:rFonts w:ascii="Garamond" w:hAnsi="Garamond"/>
          <w:color w:val="000000" w:themeColor="text1"/>
        </w:rPr>
      </w:pPr>
    </w:p>
    <w:p w14:paraId="4428ADC1" w14:textId="3D4B0DA7" w:rsidR="004746BB" w:rsidRDefault="004746BB">
      <w:pPr>
        <w:rPr>
          <w:rFonts w:ascii="Garamond" w:hAnsi="Garamond"/>
          <w:b/>
          <w:bCs/>
          <w:smallCaps/>
          <w:color w:val="000000" w:themeColor="text1"/>
        </w:rPr>
      </w:pPr>
    </w:p>
    <w:p w14:paraId="6531025E" w14:textId="2F51E7E0" w:rsidR="004746BB" w:rsidRPr="00A76C93" w:rsidRDefault="004746BB" w:rsidP="004746BB">
      <w:pPr>
        <w:pStyle w:val="Titre2"/>
        <w:spacing w:line="252" w:lineRule="auto"/>
        <w:ind w:left="851" w:right="0" w:hanging="851"/>
        <w:jc w:val="both"/>
        <w:rPr>
          <w:rFonts w:ascii="Garamond" w:hAnsi="Garamond"/>
          <w:i/>
          <w:iCs/>
          <w:color w:val="000000" w:themeColor="text1"/>
          <w:sz w:val="24"/>
          <w:szCs w:val="24"/>
          <w:u w:val="single"/>
        </w:rPr>
      </w:pPr>
      <w:r w:rsidRPr="00F64650">
        <w:rPr>
          <w:rFonts w:ascii="Garamond" w:hAnsi="Garamond"/>
          <w:smallCaps/>
          <w:color w:val="000000" w:themeColor="text1"/>
          <w:sz w:val="24"/>
          <w:szCs w:val="24"/>
        </w:rPr>
        <w:t>II.</w:t>
      </w:r>
      <w:r>
        <w:rPr>
          <w:rFonts w:ascii="Garamond" w:hAnsi="Garamond"/>
          <w:smallCaps/>
          <w:color w:val="000000" w:themeColor="text1"/>
          <w:sz w:val="24"/>
          <w:szCs w:val="24"/>
        </w:rPr>
        <w:t>B</w:t>
      </w:r>
      <w:r w:rsidRPr="00F64650">
        <w:rPr>
          <w:rFonts w:ascii="Garamond" w:hAnsi="Garamond"/>
          <w:smallCaps/>
          <w:color w:val="000000" w:themeColor="text1"/>
          <w:sz w:val="24"/>
          <w:szCs w:val="24"/>
        </w:rPr>
        <w:t xml:space="preserve">] </w:t>
      </w:r>
      <w:r w:rsidRPr="00F64650">
        <w:rPr>
          <w:rFonts w:ascii="Garamond" w:hAnsi="Garamond"/>
          <w:smallCaps/>
          <w:color w:val="000000" w:themeColor="text1"/>
          <w:sz w:val="24"/>
          <w:szCs w:val="24"/>
        </w:rPr>
        <w:tab/>
      </w:r>
      <w:r>
        <w:rPr>
          <w:rFonts w:ascii="Garamond" w:hAnsi="Garamond"/>
          <w:i/>
          <w:iCs/>
          <w:color w:val="000000" w:themeColor="text1"/>
          <w:sz w:val="24"/>
          <w:szCs w:val="24"/>
          <w:u w:val="single"/>
        </w:rPr>
        <w:t>S</w:t>
      </w:r>
      <w:r w:rsidRPr="00A76C93">
        <w:rPr>
          <w:rFonts w:ascii="Garamond" w:hAnsi="Garamond"/>
          <w:i/>
          <w:iCs/>
          <w:color w:val="000000" w:themeColor="text1"/>
          <w:sz w:val="24"/>
          <w:szCs w:val="24"/>
          <w:u w:val="single"/>
        </w:rPr>
        <w:t xml:space="preserve">ur </w:t>
      </w:r>
      <w:r>
        <w:rPr>
          <w:rFonts w:ascii="Garamond" w:hAnsi="Garamond"/>
          <w:i/>
          <w:iCs/>
          <w:color w:val="000000" w:themeColor="text1"/>
          <w:sz w:val="24"/>
          <w:szCs w:val="24"/>
          <w:u w:val="single"/>
        </w:rPr>
        <w:t>le taux de l</w:t>
      </w:r>
      <w:r w:rsidR="00F86CA7">
        <w:rPr>
          <w:rFonts w:ascii="Garamond" w:hAnsi="Garamond"/>
          <w:i/>
          <w:iCs/>
          <w:color w:val="000000" w:themeColor="text1"/>
          <w:sz w:val="24"/>
          <w:szCs w:val="24"/>
          <w:u w:val="single"/>
        </w:rPr>
        <w:t>’</w:t>
      </w:r>
      <w:r>
        <w:rPr>
          <w:rFonts w:ascii="Garamond" w:hAnsi="Garamond"/>
          <w:i/>
          <w:iCs/>
          <w:color w:val="000000" w:themeColor="text1"/>
          <w:sz w:val="24"/>
          <w:szCs w:val="24"/>
          <w:u w:val="single"/>
        </w:rPr>
        <w:t>astreinte</w:t>
      </w:r>
    </w:p>
    <w:p w14:paraId="2434CEA1" w14:textId="77777777" w:rsidR="004746BB" w:rsidRDefault="004746BB" w:rsidP="004746BB">
      <w:pPr>
        <w:spacing w:line="252" w:lineRule="auto"/>
        <w:jc w:val="both"/>
        <w:rPr>
          <w:rFonts w:ascii="Garamond" w:hAnsi="Garamond"/>
        </w:rPr>
      </w:pPr>
    </w:p>
    <w:p w14:paraId="18E7C158"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14E7110E" w14:textId="77777777" w:rsidR="004746BB" w:rsidRDefault="004746BB" w:rsidP="004746BB">
      <w:pPr>
        <w:spacing w:line="252" w:lineRule="auto"/>
        <w:jc w:val="both"/>
        <w:rPr>
          <w:rFonts w:ascii="Garamond" w:hAnsi="Garamond"/>
          <w:color w:val="000000" w:themeColor="text1"/>
        </w:rPr>
      </w:pPr>
    </w:p>
    <w:p w14:paraId="7F860F70" w14:textId="0E1323BA" w:rsidR="004746BB" w:rsidRDefault="004746BB" w:rsidP="004746BB">
      <w:pPr>
        <w:spacing w:line="252" w:lineRule="auto"/>
        <w:jc w:val="both"/>
        <w:rPr>
          <w:rFonts w:ascii="Garamond" w:hAnsi="Garamond"/>
          <w:color w:val="000000" w:themeColor="text1"/>
        </w:rPr>
      </w:pPr>
      <w:r>
        <w:rPr>
          <w:rFonts w:ascii="Garamond" w:hAnsi="Garamond"/>
          <w:color w:val="000000" w:themeColor="text1"/>
        </w:rPr>
        <w:t>Compte tenu des circonstances de l</w:t>
      </w:r>
      <w:r w:rsidR="00F86CA7">
        <w:rPr>
          <w:rFonts w:ascii="Garamond" w:hAnsi="Garamond"/>
          <w:color w:val="000000" w:themeColor="text1"/>
        </w:rPr>
        <w:t>’</w:t>
      </w:r>
      <w:r>
        <w:rPr>
          <w:rFonts w:ascii="Garamond" w:hAnsi="Garamond"/>
          <w:color w:val="000000" w:themeColor="text1"/>
        </w:rPr>
        <w:t>affaire, le taux de l</w:t>
      </w:r>
      <w:r w:rsidR="00F86CA7">
        <w:rPr>
          <w:rFonts w:ascii="Garamond" w:hAnsi="Garamond"/>
          <w:color w:val="000000" w:themeColor="text1"/>
        </w:rPr>
        <w:t>’</w:t>
      </w:r>
      <w:r>
        <w:rPr>
          <w:rFonts w:ascii="Garamond" w:hAnsi="Garamond"/>
          <w:color w:val="000000" w:themeColor="text1"/>
        </w:rPr>
        <w:t>astreinte devra nécessairement être élevé, afin de revêtir un caractère véritablement contraignant, et d</w:t>
      </w:r>
      <w:r w:rsidR="00F86CA7">
        <w:rPr>
          <w:rFonts w:ascii="Garamond" w:hAnsi="Garamond"/>
          <w:color w:val="000000" w:themeColor="text1"/>
        </w:rPr>
        <w:t>’</w:t>
      </w:r>
      <w:r>
        <w:rPr>
          <w:rFonts w:ascii="Garamond" w:hAnsi="Garamond"/>
          <w:color w:val="000000" w:themeColor="text1"/>
        </w:rPr>
        <w:t xml:space="preserve">inciter le Gouvernement à adopter, à très bref délai, les mesures supplémentaires </w:t>
      </w:r>
      <w:r>
        <w:rPr>
          <w:rFonts w:ascii="Garamond" w:hAnsi="Garamond"/>
        </w:rPr>
        <w:t>nécessaires à l</w:t>
      </w:r>
      <w:r w:rsidR="00F86CA7">
        <w:rPr>
          <w:rFonts w:ascii="Garamond" w:hAnsi="Garamond"/>
        </w:rPr>
        <w:t>’</w:t>
      </w:r>
      <w:r>
        <w:rPr>
          <w:rFonts w:ascii="Garamond" w:hAnsi="Garamond"/>
        </w:rPr>
        <w:t>exécution complète du jugement du 14 octobre 2021.</w:t>
      </w:r>
    </w:p>
    <w:p w14:paraId="550B3538" w14:textId="77777777" w:rsidR="004746BB" w:rsidRPr="00F52A38" w:rsidRDefault="004746BB" w:rsidP="004746BB">
      <w:pPr>
        <w:spacing w:line="252" w:lineRule="auto"/>
        <w:jc w:val="both"/>
        <w:rPr>
          <w:rFonts w:ascii="Garamond" w:hAnsi="Garamond"/>
          <w:color w:val="000000" w:themeColor="text1"/>
        </w:rPr>
      </w:pPr>
    </w:p>
    <w:p w14:paraId="2A059729" w14:textId="77777777" w:rsidR="004746BB" w:rsidRPr="00F52A38" w:rsidRDefault="004746BB" w:rsidP="004746BB">
      <w:pPr>
        <w:numPr>
          <w:ilvl w:val="0"/>
          <w:numId w:val="1"/>
        </w:numPr>
        <w:spacing w:line="252" w:lineRule="auto"/>
        <w:ind w:left="0" w:firstLine="0"/>
        <w:jc w:val="both"/>
        <w:rPr>
          <w:rFonts w:ascii="Garamond" w:hAnsi="Garamond"/>
          <w:color w:val="000000" w:themeColor="text1"/>
        </w:rPr>
      </w:pPr>
    </w:p>
    <w:p w14:paraId="39E2EC59" w14:textId="77777777" w:rsidR="004746BB" w:rsidRDefault="004746BB" w:rsidP="004746BB">
      <w:pPr>
        <w:spacing w:line="252" w:lineRule="auto"/>
        <w:jc w:val="both"/>
        <w:rPr>
          <w:rFonts w:ascii="Garamond" w:hAnsi="Garamond"/>
          <w:color w:val="000000" w:themeColor="text1"/>
        </w:rPr>
      </w:pPr>
    </w:p>
    <w:p w14:paraId="0A2078CB" w14:textId="76CEC9B0" w:rsidR="004746BB" w:rsidRDefault="004746BB" w:rsidP="004746BB">
      <w:pPr>
        <w:spacing w:line="252" w:lineRule="auto"/>
        <w:jc w:val="both"/>
        <w:rPr>
          <w:rFonts w:ascii="Garamond" w:hAnsi="Garamond"/>
          <w:color w:val="000000" w:themeColor="text1"/>
        </w:rPr>
      </w:pPr>
      <w:r>
        <w:rPr>
          <w:rFonts w:ascii="Garamond" w:hAnsi="Garamond"/>
          <w:color w:val="000000" w:themeColor="text1"/>
        </w:rPr>
        <w:t>À cet effet, il pourrait être utilement fixé en prenant en considération le coût social du carbone, que l</w:t>
      </w:r>
      <w:r w:rsidR="00F86CA7">
        <w:rPr>
          <w:rFonts w:ascii="Garamond" w:hAnsi="Garamond"/>
          <w:color w:val="000000" w:themeColor="text1"/>
        </w:rPr>
        <w:t>’</w:t>
      </w:r>
      <w:r w:rsidRPr="005661B5">
        <w:rPr>
          <w:rFonts w:ascii="Garamond" w:hAnsi="Garamond"/>
          <w:color w:val="000000" w:themeColor="text1"/>
        </w:rPr>
        <w:t>Organisation de coopération et de développement économiques</w:t>
      </w:r>
      <w:r>
        <w:rPr>
          <w:rFonts w:ascii="Garamond" w:hAnsi="Garamond"/>
          <w:color w:val="000000" w:themeColor="text1"/>
        </w:rPr>
        <w:t xml:space="preserve"> définit comme « </w:t>
      </w:r>
      <w:r w:rsidRPr="005661B5">
        <w:rPr>
          <w:rFonts w:ascii="Garamond" w:hAnsi="Garamond"/>
          <w:i/>
          <w:color w:val="000000" w:themeColor="text1"/>
        </w:rPr>
        <w:t>le concept le plus important à prendre en compte pour pouvoir intégrer les dommages dus au changement climatique dans l</w:t>
      </w:r>
      <w:r w:rsidR="00F86CA7">
        <w:rPr>
          <w:rFonts w:ascii="Garamond" w:hAnsi="Garamond"/>
          <w:i/>
          <w:color w:val="000000" w:themeColor="text1"/>
        </w:rPr>
        <w:t>’</w:t>
      </w:r>
      <w:r w:rsidRPr="005661B5">
        <w:rPr>
          <w:rFonts w:ascii="Garamond" w:hAnsi="Garamond"/>
          <w:i/>
          <w:color w:val="000000" w:themeColor="text1"/>
        </w:rPr>
        <w:t>analyse coûts-avantages des politiques publiques et des investissements publics</w:t>
      </w:r>
      <w:r>
        <w:rPr>
          <w:rFonts w:ascii="Garamond" w:hAnsi="Garamond"/>
          <w:color w:val="000000" w:themeColor="text1"/>
        </w:rPr>
        <w:t> », qui permet de « </w:t>
      </w:r>
      <w:r w:rsidRPr="005661B5">
        <w:rPr>
          <w:rFonts w:ascii="Garamond" w:hAnsi="Garamond"/>
          <w:i/>
          <w:color w:val="000000" w:themeColor="text1"/>
        </w:rPr>
        <w:t>mesure</w:t>
      </w:r>
      <w:r>
        <w:rPr>
          <w:rFonts w:ascii="Garamond" w:hAnsi="Garamond"/>
          <w:color w:val="000000" w:themeColor="text1"/>
        </w:rPr>
        <w:t>[r]</w:t>
      </w:r>
      <w:r w:rsidRPr="005661B5">
        <w:rPr>
          <w:rFonts w:ascii="Garamond" w:hAnsi="Garamond"/>
          <w:color w:val="000000" w:themeColor="text1"/>
        </w:rPr>
        <w:t xml:space="preserve"> </w:t>
      </w:r>
      <w:r w:rsidRPr="005661B5">
        <w:rPr>
          <w:rFonts w:ascii="Garamond" w:hAnsi="Garamond"/>
          <w:i/>
          <w:color w:val="000000" w:themeColor="text1"/>
        </w:rPr>
        <w:t>la valeur actualisée en termes monétaires des dommages provoqués par la libération dans l</w:t>
      </w:r>
      <w:r w:rsidR="00F86CA7">
        <w:rPr>
          <w:rFonts w:ascii="Garamond" w:hAnsi="Garamond"/>
          <w:i/>
          <w:color w:val="000000" w:themeColor="text1"/>
        </w:rPr>
        <w:t>’</w:t>
      </w:r>
      <w:r w:rsidRPr="005661B5">
        <w:rPr>
          <w:rFonts w:ascii="Garamond" w:hAnsi="Garamond"/>
          <w:i/>
          <w:color w:val="000000" w:themeColor="text1"/>
        </w:rPr>
        <w:t>atmosphère d</w:t>
      </w:r>
      <w:r w:rsidR="00F86CA7">
        <w:rPr>
          <w:rFonts w:ascii="Garamond" w:hAnsi="Garamond"/>
          <w:i/>
          <w:color w:val="000000" w:themeColor="text1"/>
        </w:rPr>
        <w:t>’</w:t>
      </w:r>
      <w:r w:rsidRPr="005661B5">
        <w:rPr>
          <w:rFonts w:ascii="Garamond" w:hAnsi="Garamond"/>
          <w:i/>
          <w:color w:val="000000" w:themeColor="text1"/>
        </w:rPr>
        <w:t>une tonne supplémentaire de carbone (ou de tout autre gaz à effet de serre)</w:t>
      </w:r>
      <w:r>
        <w:rPr>
          <w:rFonts w:ascii="Garamond" w:hAnsi="Garamond"/>
          <w:color w:val="000000" w:themeColor="text1"/>
        </w:rPr>
        <w:t> » (OCDE, « </w:t>
      </w:r>
      <w:r w:rsidRPr="005661B5">
        <w:rPr>
          <w:rFonts w:ascii="Garamond" w:hAnsi="Garamond"/>
          <w:color w:val="000000" w:themeColor="text1"/>
        </w:rPr>
        <w:t>Analyse coûts-avantages et environnement</w:t>
      </w:r>
      <w:r>
        <w:rPr>
          <w:rFonts w:ascii="Garamond" w:hAnsi="Garamond"/>
          <w:color w:val="000000" w:themeColor="text1"/>
        </w:rPr>
        <w:t xml:space="preserve"> – </w:t>
      </w:r>
      <w:r w:rsidRPr="005661B5">
        <w:rPr>
          <w:rFonts w:ascii="Garamond" w:hAnsi="Garamond"/>
          <w:color w:val="000000" w:themeColor="text1"/>
        </w:rPr>
        <w:t>Avancées théoriques et utilisation par les pouvoirs publics</w:t>
      </w:r>
      <w:r>
        <w:rPr>
          <w:rFonts w:ascii="Garamond" w:hAnsi="Garamond"/>
          <w:color w:val="000000" w:themeColor="text1"/>
        </w:rPr>
        <w:t> », éd. OCDE, Paris, 2019</w:t>
      </w:r>
      <w:r>
        <w:rPr>
          <w:rStyle w:val="Appelnotedebasdep"/>
          <w:rFonts w:ascii="Garamond" w:hAnsi="Garamond"/>
          <w:color w:val="000000" w:themeColor="text1"/>
        </w:rPr>
        <w:footnoteReference w:id="6"/>
      </w:r>
      <w:r>
        <w:rPr>
          <w:rFonts w:ascii="Garamond" w:hAnsi="Garamond"/>
          <w:color w:val="000000" w:themeColor="text1"/>
        </w:rPr>
        <w:t xml:space="preserve">). </w:t>
      </w:r>
    </w:p>
    <w:p w14:paraId="1AC6B068" w14:textId="77777777" w:rsidR="004746BB" w:rsidRDefault="004746BB" w:rsidP="004746BB">
      <w:pPr>
        <w:spacing w:line="252" w:lineRule="auto"/>
        <w:jc w:val="both"/>
        <w:rPr>
          <w:rFonts w:ascii="Garamond" w:hAnsi="Garamond"/>
          <w:color w:val="000000" w:themeColor="text1"/>
        </w:rPr>
      </w:pPr>
      <w:r>
        <w:rPr>
          <w:rFonts w:ascii="Garamond" w:hAnsi="Garamond"/>
          <w:color w:val="000000" w:themeColor="text1"/>
        </w:rPr>
        <w:t xml:space="preserve"> </w:t>
      </w:r>
    </w:p>
    <w:p w14:paraId="536A4326" w14:textId="3CF7E2B5" w:rsidR="004746BB" w:rsidRDefault="004746BB" w:rsidP="004746BB">
      <w:pPr>
        <w:spacing w:line="252" w:lineRule="auto"/>
        <w:jc w:val="both"/>
        <w:rPr>
          <w:rFonts w:ascii="Garamond" w:hAnsi="Garamond"/>
          <w:color w:val="000000" w:themeColor="text1"/>
        </w:rPr>
      </w:pPr>
      <w:r>
        <w:rPr>
          <w:rFonts w:ascii="Garamond" w:hAnsi="Garamond"/>
          <w:color w:val="000000" w:themeColor="text1"/>
        </w:rPr>
        <w:t>En France, le travail de valorisation monétaire des émissions de CO</w:t>
      </w:r>
      <w:r w:rsidRPr="00F26FDA">
        <w:rPr>
          <w:rFonts w:ascii="Garamond" w:hAnsi="Garamond"/>
          <w:color w:val="000000" w:themeColor="text1"/>
          <w:vertAlign w:val="subscript"/>
        </w:rPr>
        <w:t>2</w:t>
      </w:r>
      <w:r>
        <w:rPr>
          <w:rFonts w:ascii="Garamond" w:hAnsi="Garamond"/>
          <w:color w:val="000000" w:themeColor="text1"/>
        </w:rPr>
        <w:t xml:space="preserve"> a été réalisé, en 2008 et 2019, par une commission présidée par Alain Quinet, ayant permis, après concertation entre de multiples acteurs – </w:t>
      </w:r>
      <w:r w:rsidRPr="00F26FDA">
        <w:rPr>
          <w:rFonts w:ascii="Garamond" w:hAnsi="Garamond"/>
          <w:color w:val="000000" w:themeColor="text1"/>
        </w:rPr>
        <w:t xml:space="preserve">partenaires économiques et sociaux, </w:t>
      </w:r>
      <w:r>
        <w:rPr>
          <w:rFonts w:ascii="Garamond" w:hAnsi="Garamond"/>
          <w:color w:val="000000" w:themeColor="text1"/>
        </w:rPr>
        <w:t xml:space="preserve">experts, administration, organisations internationales, </w:t>
      </w:r>
      <w:r w:rsidRPr="00F26FDA">
        <w:rPr>
          <w:rFonts w:ascii="Garamond" w:hAnsi="Garamond"/>
          <w:color w:val="000000" w:themeColor="text1"/>
        </w:rPr>
        <w:t xml:space="preserve">organisations </w:t>
      </w:r>
      <w:r>
        <w:rPr>
          <w:rFonts w:ascii="Garamond" w:hAnsi="Garamond"/>
          <w:color w:val="000000" w:themeColor="text1"/>
        </w:rPr>
        <w:t>non gouvernementales</w:t>
      </w:r>
      <w:r w:rsidRPr="00F26FDA">
        <w:rPr>
          <w:rFonts w:ascii="Garamond" w:hAnsi="Garamond"/>
          <w:color w:val="000000" w:themeColor="text1"/>
        </w:rPr>
        <w:t>, universitaires, etc.</w:t>
      </w:r>
      <w:r>
        <w:rPr>
          <w:rFonts w:ascii="Garamond" w:hAnsi="Garamond"/>
          <w:color w:val="000000" w:themeColor="text1"/>
        </w:rPr>
        <w:t xml:space="preserve"> –, de déterminer « </w:t>
      </w:r>
      <w:r w:rsidRPr="00F26FDA">
        <w:rPr>
          <w:rFonts w:ascii="Garamond" w:hAnsi="Garamond"/>
          <w:i/>
          <w:color w:val="000000" w:themeColor="text1"/>
        </w:rPr>
        <w:t>la valeur de l</w:t>
      </w:r>
      <w:r w:rsidR="00F86CA7">
        <w:rPr>
          <w:rFonts w:ascii="Garamond" w:hAnsi="Garamond"/>
          <w:i/>
          <w:color w:val="000000" w:themeColor="text1"/>
        </w:rPr>
        <w:t>’</w:t>
      </w:r>
      <w:r w:rsidRPr="00F26FDA">
        <w:rPr>
          <w:rFonts w:ascii="Garamond" w:hAnsi="Garamond"/>
          <w:i/>
          <w:color w:val="000000" w:themeColor="text1"/>
        </w:rPr>
        <w:t>action pour le climat</w:t>
      </w:r>
      <w:r>
        <w:rPr>
          <w:rFonts w:ascii="Garamond" w:hAnsi="Garamond"/>
          <w:color w:val="000000" w:themeColor="text1"/>
        </w:rPr>
        <w:t> » et, précisément, la « </w:t>
      </w:r>
      <w:r w:rsidRPr="00F26FDA">
        <w:rPr>
          <w:rFonts w:ascii="Garamond" w:hAnsi="Garamond"/>
          <w:i/>
          <w:color w:val="000000" w:themeColor="text1"/>
        </w:rPr>
        <w:t>valeur tutélaire du carbone</w:t>
      </w:r>
      <w:r>
        <w:rPr>
          <w:rFonts w:ascii="Garamond" w:hAnsi="Garamond"/>
          <w:color w:val="000000" w:themeColor="text1"/>
        </w:rPr>
        <w:t> », c</w:t>
      </w:r>
      <w:r w:rsidR="00F86CA7">
        <w:rPr>
          <w:rFonts w:ascii="Garamond" w:hAnsi="Garamond"/>
          <w:color w:val="000000" w:themeColor="text1"/>
        </w:rPr>
        <w:t>’</w:t>
      </w:r>
      <w:r>
        <w:rPr>
          <w:rFonts w:ascii="Garamond" w:hAnsi="Garamond"/>
          <w:color w:val="000000" w:themeColor="text1"/>
        </w:rPr>
        <w:t>est-à-dire le prix de la tonne de CO</w:t>
      </w:r>
      <w:r w:rsidRPr="00F26FDA">
        <w:rPr>
          <w:rFonts w:ascii="Garamond" w:hAnsi="Garamond"/>
          <w:color w:val="000000" w:themeColor="text1"/>
          <w:vertAlign w:val="subscript"/>
        </w:rPr>
        <w:t>2</w:t>
      </w:r>
      <w:r>
        <w:rPr>
          <w:rFonts w:ascii="Garamond" w:hAnsi="Garamond"/>
          <w:color w:val="000000" w:themeColor="text1"/>
        </w:rPr>
        <w:t xml:space="preserve"> fixé par l</w:t>
      </w:r>
      <w:r w:rsidR="00F86CA7">
        <w:rPr>
          <w:rFonts w:ascii="Garamond" w:hAnsi="Garamond"/>
          <w:color w:val="000000" w:themeColor="text1"/>
        </w:rPr>
        <w:t>’</w:t>
      </w:r>
      <w:r>
        <w:rPr>
          <w:rFonts w:ascii="Garamond" w:hAnsi="Garamond"/>
          <w:color w:val="000000" w:themeColor="text1"/>
        </w:rPr>
        <w:t>État, au regard notamment de ses engagements dans la lutte contre le changement climatique (</w:t>
      </w:r>
      <w:r w:rsidRPr="00F26FDA">
        <w:rPr>
          <w:rFonts w:ascii="Garamond" w:hAnsi="Garamond"/>
          <w:b/>
          <w:color w:val="000000" w:themeColor="text1"/>
          <w:u w:val="single"/>
        </w:rPr>
        <w:t>Production n° </w:t>
      </w:r>
      <w:r w:rsidR="00BE3C13">
        <w:rPr>
          <w:rFonts w:ascii="Garamond" w:hAnsi="Garamond"/>
          <w:b/>
          <w:color w:val="000000" w:themeColor="text1"/>
          <w:u w:val="single"/>
        </w:rPr>
        <w:t>6</w:t>
      </w:r>
      <w:r>
        <w:rPr>
          <w:rFonts w:ascii="Garamond" w:hAnsi="Garamond"/>
          <w:color w:val="000000" w:themeColor="text1"/>
        </w:rPr>
        <w:t xml:space="preserve">). </w:t>
      </w:r>
    </w:p>
    <w:p w14:paraId="2E9ED994" w14:textId="77777777" w:rsidR="004746BB" w:rsidRDefault="004746BB" w:rsidP="004746BB">
      <w:pPr>
        <w:spacing w:line="252" w:lineRule="auto"/>
        <w:jc w:val="both"/>
        <w:rPr>
          <w:rFonts w:ascii="Garamond" w:hAnsi="Garamond"/>
          <w:color w:val="000000" w:themeColor="text1"/>
        </w:rPr>
      </w:pPr>
    </w:p>
    <w:p w14:paraId="1F0DD544" w14:textId="1685992E" w:rsidR="004746BB" w:rsidRDefault="004746BB" w:rsidP="004746BB">
      <w:pPr>
        <w:spacing w:line="252" w:lineRule="auto"/>
        <w:jc w:val="both"/>
        <w:rPr>
          <w:rFonts w:ascii="Garamond" w:hAnsi="Garamond"/>
          <w:color w:val="000000" w:themeColor="text1"/>
        </w:rPr>
      </w:pPr>
      <w:r>
        <w:rPr>
          <w:rFonts w:ascii="Garamond" w:hAnsi="Garamond"/>
          <w:color w:val="000000" w:themeColor="text1"/>
        </w:rPr>
        <w:t>Plus précisément, cette « </w:t>
      </w:r>
      <w:r w:rsidRPr="00E655A9">
        <w:rPr>
          <w:rFonts w:ascii="Garamond" w:hAnsi="Garamond"/>
          <w:i/>
          <w:color w:val="000000" w:themeColor="text1"/>
        </w:rPr>
        <w:t>valeur tutélaire du carbone</w:t>
      </w:r>
      <w:r>
        <w:rPr>
          <w:rFonts w:ascii="Garamond" w:hAnsi="Garamond"/>
          <w:color w:val="000000" w:themeColor="text1"/>
        </w:rPr>
        <w:t xml:space="preserve"> » </w:t>
      </w:r>
      <w:r w:rsidRPr="00E655A9">
        <w:rPr>
          <w:rFonts w:ascii="Garamond" w:hAnsi="Garamond"/>
          <w:color w:val="000000" w:themeColor="text1"/>
        </w:rPr>
        <w:t>représente la valeur pour la société des actions de réduction des émissions de gaz à effet de serre permettant d</w:t>
      </w:r>
      <w:r w:rsidR="00F86CA7">
        <w:rPr>
          <w:rFonts w:ascii="Garamond" w:hAnsi="Garamond"/>
          <w:color w:val="000000" w:themeColor="text1"/>
        </w:rPr>
        <w:t>’</w:t>
      </w:r>
      <w:r w:rsidRPr="00E655A9">
        <w:rPr>
          <w:rFonts w:ascii="Garamond" w:hAnsi="Garamond"/>
          <w:color w:val="000000" w:themeColor="text1"/>
        </w:rPr>
        <w:t>atteindre l</w:t>
      </w:r>
      <w:r w:rsidR="00F86CA7">
        <w:rPr>
          <w:rFonts w:ascii="Garamond" w:hAnsi="Garamond"/>
          <w:color w:val="000000" w:themeColor="text1"/>
        </w:rPr>
        <w:t>’</w:t>
      </w:r>
      <w:r w:rsidRPr="00E655A9">
        <w:rPr>
          <w:rFonts w:ascii="Garamond" w:hAnsi="Garamond"/>
          <w:color w:val="000000" w:themeColor="text1"/>
        </w:rPr>
        <w:t>objectif de neutralité carbon</w:t>
      </w:r>
      <w:r>
        <w:rPr>
          <w:rFonts w:ascii="Garamond" w:hAnsi="Garamond"/>
          <w:color w:val="000000" w:themeColor="text1"/>
        </w:rPr>
        <w:t xml:space="preserve">e. </w:t>
      </w:r>
    </w:p>
    <w:p w14:paraId="70BB44A7" w14:textId="77777777" w:rsidR="004746BB" w:rsidRDefault="004746BB" w:rsidP="004746BB">
      <w:pPr>
        <w:spacing w:line="252" w:lineRule="auto"/>
        <w:jc w:val="both"/>
        <w:rPr>
          <w:rFonts w:ascii="Garamond" w:hAnsi="Garamond"/>
          <w:color w:val="000000" w:themeColor="text1"/>
        </w:rPr>
      </w:pPr>
    </w:p>
    <w:p w14:paraId="5B45A849" w14:textId="77777777" w:rsidR="004746BB" w:rsidRDefault="004746BB" w:rsidP="004746BB">
      <w:pPr>
        <w:spacing w:line="252" w:lineRule="auto"/>
        <w:jc w:val="both"/>
        <w:rPr>
          <w:rFonts w:ascii="Garamond" w:hAnsi="Garamond"/>
          <w:color w:val="000000" w:themeColor="text1"/>
        </w:rPr>
      </w:pPr>
      <w:r>
        <w:rPr>
          <w:rFonts w:ascii="Garamond" w:hAnsi="Garamond"/>
          <w:color w:val="000000" w:themeColor="text1"/>
        </w:rPr>
        <w:t xml:space="preserve">Ainsi, aux termes de ce rapport : </w:t>
      </w:r>
    </w:p>
    <w:p w14:paraId="1A55EED5" w14:textId="77777777" w:rsidR="004746BB" w:rsidRDefault="004746BB" w:rsidP="004746BB">
      <w:pPr>
        <w:spacing w:line="252" w:lineRule="auto"/>
        <w:jc w:val="both"/>
        <w:rPr>
          <w:rFonts w:ascii="Garamond" w:hAnsi="Garamond"/>
          <w:color w:val="000000" w:themeColor="text1"/>
        </w:rPr>
      </w:pPr>
    </w:p>
    <w:p w14:paraId="6DB833F3" w14:textId="2AB536E5" w:rsidR="004746BB" w:rsidRPr="00E655A9" w:rsidRDefault="004746BB" w:rsidP="004746BB">
      <w:pPr>
        <w:spacing w:line="252" w:lineRule="auto"/>
        <w:ind w:left="567"/>
        <w:jc w:val="both"/>
        <w:rPr>
          <w:rFonts w:ascii="Garamond" w:hAnsi="Garamond"/>
          <w:i/>
          <w:color w:val="000000" w:themeColor="text1"/>
        </w:rPr>
      </w:pPr>
      <w:r>
        <w:rPr>
          <w:rFonts w:ascii="Garamond" w:hAnsi="Garamond"/>
          <w:color w:val="000000" w:themeColor="text1"/>
        </w:rPr>
        <w:t>« </w:t>
      </w:r>
      <w:r w:rsidRPr="00E655A9">
        <w:rPr>
          <w:rFonts w:ascii="Garamond" w:hAnsi="Garamond"/>
          <w:i/>
          <w:color w:val="000000" w:themeColor="text1"/>
        </w:rPr>
        <w:t>Pour décarboner, il faut investir pour réduire les émissions. Le choix des investissements à effectuer doit se faire en fonction d</w:t>
      </w:r>
      <w:r w:rsidR="00F86CA7">
        <w:rPr>
          <w:rFonts w:ascii="Garamond" w:hAnsi="Garamond"/>
          <w:i/>
          <w:color w:val="000000" w:themeColor="text1"/>
        </w:rPr>
        <w:t>’</w:t>
      </w:r>
      <w:r w:rsidRPr="00E655A9">
        <w:rPr>
          <w:rFonts w:ascii="Garamond" w:hAnsi="Garamond"/>
          <w:i/>
          <w:color w:val="000000" w:themeColor="text1"/>
        </w:rPr>
        <w:t>un coût par tonne d</w:t>
      </w:r>
      <w:r w:rsidR="00F86CA7">
        <w:rPr>
          <w:rFonts w:ascii="Garamond" w:hAnsi="Garamond"/>
          <w:i/>
          <w:color w:val="000000" w:themeColor="text1"/>
        </w:rPr>
        <w:t>’</w:t>
      </w:r>
      <w:r w:rsidRPr="00E655A9">
        <w:rPr>
          <w:rFonts w:ascii="Garamond" w:hAnsi="Garamond"/>
          <w:i/>
          <w:color w:val="000000" w:themeColor="text1"/>
        </w:rPr>
        <w:t>émissions évitées. C</w:t>
      </w:r>
      <w:r w:rsidR="00F86CA7">
        <w:rPr>
          <w:rFonts w:ascii="Garamond" w:hAnsi="Garamond"/>
          <w:i/>
          <w:color w:val="000000" w:themeColor="text1"/>
        </w:rPr>
        <w:t>’</w:t>
      </w:r>
      <w:r w:rsidRPr="00E655A9">
        <w:rPr>
          <w:rFonts w:ascii="Garamond" w:hAnsi="Garamond"/>
          <w:i/>
          <w:color w:val="000000" w:themeColor="text1"/>
        </w:rPr>
        <w:t>est ce que fait l</w:t>
      </w:r>
      <w:r w:rsidR="00F86CA7">
        <w:rPr>
          <w:rFonts w:ascii="Garamond" w:hAnsi="Garamond"/>
          <w:i/>
          <w:color w:val="000000" w:themeColor="text1"/>
        </w:rPr>
        <w:t>’</w:t>
      </w:r>
      <w:r w:rsidRPr="00E655A9">
        <w:rPr>
          <w:rFonts w:ascii="Garamond" w:hAnsi="Garamond"/>
          <w:i/>
          <w:color w:val="000000" w:themeColor="text1"/>
        </w:rPr>
        <w:t>État pour ses propres investissements, en se fixant une règle</w:t>
      </w:r>
      <w:r>
        <w:rPr>
          <w:rFonts w:ascii="Garamond" w:hAnsi="Garamond"/>
          <w:i/>
          <w:color w:val="000000" w:themeColor="text1"/>
        </w:rPr>
        <w:t xml:space="preserve"> : </w:t>
      </w:r>
      <w:r w:rsidRPr="00E655A9">
        <w:rPr>
          <w:rFonts w:ascii="Garamond" w:hAnsi="Garamond"/>
          <w:i/>
          <w:color w:val="000000" w:themeColor="text1"/>
        </w:rPr>
        <w:t>prendre en compte une valeur de la tonne de CO2 évitée (ou équivalent) dans l</w:t>
      </w:r>
      <w:r w:rsidR="00F86CA7">
        <w:rPr>
          <w:rFonts w:ascii="Garamond" w:hAnsi="Garamond"/>
          <w:i/>
          <w:color w:val="000000" w:themeColor="text1"/>
        </w:rPr>
        <w:t>’</w:t>
      </w:r>
      <w:r w:rsidRPr="00E655A9">
        <w:rPr>
          <w:rFonts w:ascii="Garamond" w:hAnsi="Garamond"/>
          <w:i/>
          <w:color w:val="000000" w:themeColor="text1"/>
        </w:rPr>
        <w:t>analyse socioéconomique qu</w:t>
      </w:r>
      <w:r w:rsidR="00F86CA7">
        <w:rPr>
          <w:rFonts w:ascii="Garamond" w:hAnsi="Garamond"/>
          <w:i/>
          <w:color w:val="000000" w:themeColor="text1"/>
        </w:rPr>
        <w:t>’</w:t>
      </w:r>
      <w:r w:rsidRPr="00E655A9">
        <w:rPr>
          <w:rFonts w:ascii="Garamond" w:hAnsi="Garamond"/>
          <w:i/>
          <w:color w:val="000000" w:themeColor="text1"/>
        </w:rPr>
        <w:t>il effectue. C</w:t>
      </w:r>
      <w:r w:rsidR="00F86CA7">
        <w:rPr>
          <w:rFonts w:ascii="Garamond" w:hAnsi="Garamond"/>
          <w:i/>
          <w:color w:val="000000" w:themeColor="text1"/>
        </w:rPr>
        <w:t>’</w:t>
      </w:r>
      <w:r w:rsidRPr="00E655A9">
        <w:rPr>
          <w:rFonts w:ascii="Garamond" w:hAnsi="Garamond"/>
          <w:i/>
          <w:color w:val="000000" w:themeColor="text1"/>
        </w:rPr>
        <w:t>est la "valeur tutélaire" du carbone.</w:t>
      </w:r>
    </w:p>
    <w:p w14:paraId="4EADD18F" w14:textId="77777777" w:rsidR="004746BB" w:rsidRPr="00E655A9" w:rsidRDefault="004746BB" w:rsidP="004746BB">
      <w:pPr>
        <w:spacing w:line="252" w:lineRule="auto"/>
        <w:ind w:left="567"/>
        <w:jc w:val="both"/>
        <w:rPr>
          <w:rFonts w:ascii="Garamond" w:hAnsi="Garamond"/>
          <w:i/>
          <w:color w:val="000000" w:themeColor="text1"/>
        </w:rPr>
      </w:pPr>
    </w:p>
    <w:p w14:paraId="7D4D4485" w14:textId="5D58FF47" w:rsidR="004746BB" w:rsidRPr="00E655A9" w:rsidRDefault="004746BB" w:rsidP="004746BB">
      <w:pPr>
        <w:spacing w:line="252" w:lineRule="auto"/>
        <w:ind w:left="567"/>
        <w:jc w:val="both"/>
        <w:rPr>
          <w:rFonts w:ascii="Garamond" w:hAnsi="Garamond"/>
          <w:i/>
          <w:color w:val="000000" w:themeColor="text1"/>
        </w:rPr>
      </w:pPr>
      <w:r w:rsidRPr="00E655A9">
        <w:rPr>
          <w:rFonts w:ascii="Garamond" w:hAnsi="Garamond"/>
          <w:i/>
          <w:color w:val="000000" w:themeColor="text1"/>
        </w:rPr>
        <w:t>Le rapport d</w:t>
      </w:r>
      <w:r w:rsidR="00F86CA7">
        <w:rPr>
          <w:rFonts w:ascii="Garamond" w:hAnsi="Garamond"/>
          <w:i/>
          <w:color w:val="000000" w:themeColor="text1"/>
        </w:rPr>
        <w:t>’</w:t>
      </w:r>
      <w:r w:rsidRPr="00E655A9">
        <w:rPr>
          <w:rFonts w:ascii="Garamond" w:hAnsi="Garamond"/>
          <w:i/>
          <w:color w:val="000000" w:themeColor="text1"/>
        </w:rPr>
        <w:t>Alain Quinet dresse un panorama complet des analyses permettant, dans l</w:t>
      </w:r>
      <w:r w:rsidR="00F86CA7">
        <w:rPr>
          <w:rFonts w:ascii="Garamond" w:hAnsi="Garamond"/>
          <w:i/>
          <w:color w:val="000000" w:themeColor="text1"/>
        </w:rPr>
        <w:t>’</w:t>
      </w:r>
      <w:r w:rsidRPr="00E655A9">
        <w:rPr>
          <w:rFonts w:ascii="Garamond" w:hAnsi="Garamond"/>
          <w:i/>
          <w:color w:val="000000" w:themeColor="text1"/>
        </w:rPr>
        <w:t xml:space="preserve">état actuel et prévisible des techniques disponibles pour réduire les émissions ou capter le carbone, de définir une trajectoire de </w:t>
      </w:r>
      <w:r w:rsidRPr="00E655A9">
        <w:rPr>
          <w:rFonts w:ascii="Garamond" w:hAnsi="Garamond"/>
          <w:i/>
          <w:color w:val="000000" w:themeColor="text1"/>
          <w:u w:val="single"/>
        </w:rPr>
        <w:t>valeurs dont la prise en compte permettrait d</w:t>
      </w:r>
      <w:r w:rsidR="00F86CA7">
        <w:rPr>
          <w:rFonts w:ascii="Garamond" w:hAnsi="Garamond"/>
          <w:i/>
          <w:color w:val="000000" w:themeColor="text1"/>
          <w:u w:val="single"/>
        </w:rPr>
        <w:t>’</w:t>
      </w:r>
      <w:r w:rsidRPr="00E655A9">
        <w:rPr>
          <w:rFonts w:ascii="Garamond" w:hAnsi="Garamond"/>
          <w:i/>
          <w:color w:val="000000" w:themeColor="text1"/>
          <w:u w:val="single"/>
        </w:rPr>
        <w:t>atteindre l</w:t>
      </w:r>
      <w:r w:rsidR="00F86CA7">
        <w:rPr>
          <w:rFonts w:ascii="Garamond" w:hAnsi="Garamond"/>
          <w:i/>
          <w:color w:val="000000" w:themeColor="text1"/>
          <w:u w:val="single"/>
        </w:rPr>
        <w:t>’</w:t>
      </w:r>
      <w:r w:rsidRPr="00E655A9">
        <w:rPr>
          <w:rFonts w:ascii="Garamond" w:hAnsi="Garamond"/>
          <w:i/>
          <w:color w:val="000000" w:themeColor="text1"/>
          <w:u w:val="single"/>
        </w:rPr>
        <w:t>objectif de neutralité carbone à l</w:t>
      </w:r>
      <w:r w:rsidR="00F86CA7">
        <w:rPr>
          <w:rFonts w:ascii="Garamond" w:hAnsi="Garamond"/>
          <w:i/>
          <w:color w:val="000000" w:themeColor="text1"/>
          <w:u w:val="single"/>
        </w:rPr>
        <w:t>’</w:t>
      </w:r>
      <w:r w:rsidRPr="00E655A9">
        <w:rPr>
          <w:rFonts w:ascii="Garamond" w:hAnsi="Garamond"/>
          <w:i/>
          <w:color w:val="000000" w:themeColor="text1"/>
          <w:u w:val="single"/>
        </w:rPr>
        <w:t>horizon 2050</w:t>
      </w:r>
      <w:r w:rsidRPr="00E655A9">
        <w:rPr>
          <w:rFonts w:ascii="Garamond" w:hAnsi="Garamond"/>
          <w:i/>
          <w:color w:val="000000" w:themeColor="text1"/>
        </w:rPr>
        <w:t>. Compte tenu de l</w:t>
      </w:r>
      <w:r w:rsidR="00F86CA7">
        <w:rPr>
          <w:rFonts w:ascii="Garamond" w:hAnsi="Garamond"/>
          <w:i/>
          <w:color w:val="000000" w:themeColor="text1"/>
        </w:rPr>
        <w:t>’</w:t>
      </w:r>
      <w:r w:rsidRPr="00E655A9">
        <w:rPr>
          <w:rFonts w:ascii="Garamond" w:hAnsi="Garamond"/>
          <w:i/>
          <w:color w:val="000000" w:themeColor="text1"/>
        </w:rPr>
        <w:t xml:space="preserve">évolution des objectifs et des techniques, et du retard pris par rapport à la trajectoire souhaitable de nos émissions, elle conduit à réviser nettement à la hausse </w:t>
      </w:r>
      <w:r w:rsidRPr="00E655A9">
        <w:rPr>
          <w:rFonts w:ascii="Garamond" w:hAnsi="Garamond"/>
          <w:i/>
          <w:color w:val="000000" w:themeColor="text1"/>
          <w:u w:val="single"/>
        </w:rPr>
        <w:t>la valeur tutélaire cible, qui devrait s</w:t>
      </w:r>
      <w:r w:rsidR="00F86CA7">
        <w:rPr>
          <w:rFonts w:ascii="Garamond" w:hAnsi="Garamond"/>
          <w:i/>
          <w:color w:val="000000" w:themeColor="text1"/>
          <w:u w:val="single"/>
        </w:rPr>
        <w:t>’</w:t>
      </w:r>
      <w:r w:rsidRPr="00E655A9">
        <w:rPr>
          <w:rFonts w:ascii="Garamond" w:hAnsi="Garamond"/>
          <w:i/>
          <w:color w:val="000000" w:themeColor="text1"/>
          <w:u w:val="single"/>
        </w:rPr>
        <w:t>établir à 250 € la tonne CO</w:t>
      </w:r>
      <w:r w:rsidRPr="00E655A9">
        <w:rPr>
          <w:rFonts w:ascii="Garamond" w:hAnsi="Garamond"/>
          <w:i/>
          <w:color w:val="000000" w:themeColor="text1"/>
          <w:u w:val="single"/>
          <w:vertAlign w:val="subscript"/>
        </w:rPr>
        <w:t>2</w:t>
      </w:r>
      <w:r w:rsidRPr="00E655A9">
        <w:rPr>
          <w:rFonts w:ascii="Garamond" w:hAnsi="Garamond"/>
          <w:i/>
          <w:color w:val="000000" w:themeColor="text1"/>
          <w:u w:val="single"/>
        </w:rPr>
        <w:t>e en 2030</w:t>
      </w:r>
      <w:r w:rsidRPr="00E655A9">
        <w:rPr>
          <w:rFonts w:ascii="Garamond" w:hAnsi="Garamond"/>
          <w:i/>
          <w:color w:val="000000" w:themeColor="text1"/>
        </w:rPr>
        <w:t>, alors que la cible fixée en 2008 pour cette même date était de 100 €.</w:t>
      </w:r>
    </w:p>
    <w:p w14:paraId="184A9FE6" w14:textId="77777777" w:rsidR="004746BB" w:rsidRDefault="004746BB" w:rsidP="004746BB">
      <w:pPr>
        <w:spacing w:line="252" w:lineRule="auto"/>
        <w:ind w:left="567"/>
        <w:jc w:val="both"/>
        <w:rPr>
          <w:rFonts w:ascii="Garamond" w:hAnsi="Garamond"/>
          <w:color w:val="000000" w:themeColor="text1"/>
        </w:rPr>
      </w:pPr>
    </w:p>
    <w:p w14:paraId="01E4FE85" w14:textId="777FC1EF" w:rsidR="004746BB" w:rsidRPr="00E655A9" w:rsidRDefault="004746BB" w:rsidP="004746BB">
      <w:pPr>
        <w:spacing w:line="252" w:lineRule="auto"/>
        <w:ind w:left="567"/>
        <w:jc w:val="both"/>
        <w:rPr>
          <w:rFonts w:ascii="Garamond" w:hAnsi="Garamond"/>
          <w:i/>
          <w:color w:val="000000" w:themeColor="text1"/>
        </w:rPr>
      </w:pPr>
      <w:r w:rsidRPr="00E655A9">
        <w:rPr>
          <w:rFonts w:ascii="Garamond" w:hAnsi="Garamond"/>
          <w:i/>
          <w:color w:val="000000" w:themeColor="text1"/>
        </w:rPr>
        <w:t>La démarche de cette commission relève d</w:t>
      </w:r>
      <w:r w:rsidR="00F86CA7">
        <w:rPr>
          <w:rFonts w:ascii="Garamond" w:hAnsi="Garamond"/>
          <w:i/>
          <w:color w:val="000000" w:themeColor="text1"/>
        </w:rPr>
        <w:t>’</w:t>
      </w:r>
      <w:r w:rsidRPr="00E655A9">
        <w:rPr>
          <w:rFonts w:ascii="Garamond" w:hAnsi="Garamond"/>
          <w:i/>
          <w:color w:val="000000" w:themeColor="text1"/>
        </w:rPr>
        <w:t>une logique</w:t>
      </w:r>
      <w:r w:rsidRPr="00E655A9">
        <w:rPr>
          <w:rFonts w:ascii="Garamond" w:hAnsi="Garamond"/>
          <w:color w:val="000000" w:themeColor="text1"/>
        </w:rPr>
        <w:t xml:space="preserve"> </w:t>
      </w:r>
      <w:r>
        <w:rPr>
          <w:rFonts w:ascii="Garamond" w:hAnsi="Garamond"/>
          <w:color w:val="000000" w:themeColor="text1"/>
        </w:rPr>
        <w:t>[…]</w:t>
      </w:r>
      <w:r w:rsidRPr="00E655A9">
        <w:rPr>
          <w:rFonts w:ascii="Garamond" w:hAnsi="Garamond"/>
          <w:color w:val="000000" w:themeColor="text1"/>
        </w:rPr>
        <w:t xml:space="preserve"> </w:t>
      </w:r>
      <w:r w:rsidRPr="00E655A9">
        <w:rPr>
          <w:rFonts w:ascii="Garamond" w:hAnsi="Garamond"/>
          <w:i/>
          <w:color w:val="000000" w:themeColor="text1"/>
        </w:rPr>
        <w:t xml:space="preserve">dite coûts-efficacité. Celle-ci consiste à </w:t>
      </w:r>
      <w:r w:rsidRPr="00E655A9">
        <w:rPr>
          <w:rFonts w:ascii="Garamond" w:hAnsi="Garamond"/>
          <w:i/>
          <w:color w:val="000000" w:themeColor="text1"/>
          <w:u w:val="single"/>
        </w:rPr>
        <w:t>identifier la valeur d</w:t>
      </w:r>
      <w:r w:rsidR="00F86CA7">
        <w:rPr>
          <w:rFonts w:ascii="Garamond" w:hAnsi="Garamond"/>
          <w:i/>
          <w:color w:val="000000" w:themeColor="text1"/>
          <w:u w:val="single"/>
        </w:rPr>
        <w:t>’</w:t>
      </w:r>
      <w:r w:rsidRPr="00E655A9">
        <w:rPr>
          <w:rFonts w:ascii="Garamond" w:hAnsi="Garamond"/>
          <w:i/>
          <w:color w:val="000000" w:themeColor="text1"/>
          <w:u w:val="single"/>
        </w:rPr>
        <w:t>une tonne CO</w:t>
      </w:r>
      <w:r w:rsidRPr="00E655A9">
        <w:rPr>
          <w:rFonts w:ascii="Garamond" w:hAnsi="Garamond"/>
          <w:i/>
          <w:color w:val="000000" w:themeColor="text1"/>
          <w:u w:val="single"/>
          <w:vertAlign w:val="subscript"/>
        </w:rPr>
        <w:t>2</w:t>
      </w:r>
      <w:r w:rsidRPr="00E655A9">
        <w:rPr>
          <w:rFonts w:ascii="Garamond" w:hAnsi="Garamond"/>
          <w:i/>
          <w:color w:val="000000" w:themeColor="text1"/>
          <w:u w:val="single"/>
        </w:rPr>
        <w:t>e évitée à prendre en compte dans les décisions de l</w:t>
      </w:r>
      <w:r w:rsidR="00F86CA7">
        <w:rPr>
          <w:rFonts w:ascii="Garamond" w:hAnsi="Garamond"/>
          <w:i/>
          <w:color w:val="000000" w:themeColor="text1"/>
          <w:u w:val="single"/>
        </w:rPr>
        <w:t>’</w:t>
      </w:r>
      <w:r w:rsidRPr="00E655A9">
        <w:rPr>
          <w:rFonts w:ascii="Garamond" w:hAnsi="Garamond"/>
          <w:i/>
          <w:color w:val="000000" w:themeColor="text1"/>
          <w:u w:val="single"/>
        </w:rPr>
        <w:t>ensemble des acteurs économiques pour que la France atteigne la neutralité carbone à l</w:t>
      </w:r>
      <w:r w:rsidR="00F86CA7">
        <w:rPr>
          <w:rFonts w:ascii="Garamond" w:hAnsi="Garamond"/>
          <w:i/>
          <w:color w:val="000000" w:themeColor="text1"/>
          <w:u w:val="single"/>
        </w:rPr>
        <w:t>’</w:t>
      </w:r>
      <w:r w:rsidRPr="00E655A9">
        <w:rPr>
          <w:rFonts w:ascii="Garamond" w:hAnsi="Garamond"/>
          <w:i/>
          <w:color w:val="000000" w:themeColor="text1"/>
          <w:u w:val="single"/>
        </w:rPr>
        <w:t>horizon 2050</w:t>
      </w:r>
      <w:r w:rsidRPr="00E655A9">
        <w:rPr>
          <w:rFonts w:ascii="Garamond" w:hAnsi="Garamond"/>
          <w:i/>
          <w:color w:val="000000" w:themeColor="text1"/>
        </w:rPr>
        <w:t>. Par rapport à une démarche de coûts-avantages, cette logique permet de s</w:t>
      </w:r>
      <w:r w:rsidR="00F86CA7">
        <w:rPr>
          <w:rFonts w:ascii="Garamond" w:hAnsi="Garamond"/>
          <w:i/>
          <w:color w:val="000000" w:themeColor="text1"/>
        </w:rPr>
        <w:t>’</w:t>
      </w:r>
      <w:r w:rsidRPr="00E655A9">
        <w:rPr>
          <w:rFonts w:ascii="Garamond" w:hAnsi="Garamond"/>
          <w:i/>
          <w:color w:val="000000" w:themeColor="text1"/>
        </w:rPr>
        <w:t>affranchir des incertitudes sur l</w:t>
      </w:r>
      <w:r w:rsidR="00F86CA7">
        <w:rPr>
          <w:rFonts w:ascii="Garamond" w:hAnsi="Garamond"/>
          <w:i/>
          <w:color w:val="000000" w:themeColor="text1"/>
        </w:rPr>
        <w:t>’</w:t>
      </w:r>
      <w:r w:rsidRPr="00E655A9">
        <w:rPr>
          <w:rFonts w:ascii="Garamond" w:hAnsi="Garamond"/>
          <w:i/>
          <w:color w:val="000000" w:themeColor="text1"/>
        </w:rPr>
        <w:t xml:space="preserve">évaluation des dommages, en se fondant sur un objectif reflétant les préférences collectives. La valeur tutélaire ainsi définie représente la </w:t>
      </w:r>
      <w:r w:rsidRPr="00E655A9">
        <w:rPr>
          <w:rFonts w:ascii="Garamond" w:hAnsi="Garamond"/>
          <w:i/>
          <w:color w:val="000000" w:themeColor="text1"/>
          <w:u w:val="single"/>
        </w:rPr>
        <w:t>valeur pour la société des actions de réduction des émissions de gaz à effet de serre permettant d</w:t>
      </w:r>
      <w:r w:rsidR="00F86CA7">
        <w:rPr>
          <w:rFonts w:ascii="Garamond" w:hAnsi="Garamond"/>
          <w:i/>
          <w:color w:val="000000" w:themeColor="text1"/>
          <w:u w:val="single"/>
        </w:rPr>
        <w:t>’</w:t>
      </w:r>
      <w:r w:rsidRPr="00E655A9">
        <w:rPr>
          <w:rFonts w:ascii="Garamond" w:hAnsi="Garamond"/>
          <w:i/>
          <w:color w:val="000000" w:themeColor="text1"/>
          <w:u w:val="single"/>
        </w:rPr>
        <w:t>atteindre l</w:t>
      </w:r>
      <w:r w:rsidR="00F86CA7">
        <w:rPr>
          <w:rFonts w:ascii="Garamond" w:hAnsi="Garamond"/>
          <w:i/>
          <w:color w:val="000000" w:themeColor="text1"/>
          <w:u w:val="single"/>
        </w:rPr>
        <w:t>’</w:t>
      </w:r>
      <w:r w:rsidRPr="00E655A9">
        <w:rPr>
          <w:rFonts w:ascii="Garamond" w:hAnsi="Garamond"/>
          <w:i/>
          <w:color w:val="000000" w:themeColor="text1"/>
          <w:u w:val="single"/>
        </w:rPr>
        <w:t>objectif de neutralité</w:t>
      </w:r>
      <w:r w:rsidRPr="00E655A9">
        <w:rPr>
          <w:rFonts w:ascii="Garamond" w:hAnsi="Garamond"/>
          <w:i/>
          <w:color w:val="000000" w:themeColor="text1"/>
        </w:rPr>
        <w:t>.</w:t>
      </w:r>
    </w:p>
    <w:p w14:paraId="4904DE20" w14:textId="77777777" w:rsidR="004746BB" w:rsidRPr="00E655A9" w:rsidRDefault="004746BB" w:rsidP="004746BB">
      <w:pPr>
        <w:spacing w:line="252" w:lineRule="auto"/>
        <w:ind w:left="567"/>
        <w:jc w:val="both"/>
        <w:rPr>
          <w:rFonts w:ascii="Garamond" w:hAnsi="Garamond"/>
          <w:i/>
          <w:color w:val="000000" w:themeColor="text1"/>
        </w:rPr>
      </w:pPr>
    </w:p>
    <w:p w14:paraId="5ACA591A" w14:textId="681928DE" w:rsidR="004746BB" w:rsidRDefault="004746BB" w:rsidP="004746BB">
      <w:pPr>
        <w:spacing w:line="252" w:lineRule="auto"/>
        <w:ind w:left="567"/>
        <w:jc w:val="both"/>
        <w:rPr>
          <w:rFonts w:ascii="Garamond" w:hAnsi="Garamond"/>
          <w:color w:val="000000" w:themeColor="text1"/>
        </w:rPr>
      </w:pPr>
      <w:r w:rsidRPr="00E655A9">
        <w:rPr>
          <w:rFonts w:ascii="Garamond" w:hAnsi="Garamond"/>
          <w:i/>
          <w:color w:val="000000" w:themeColor="text1"/>
        </w:rPr>
        <w:t xml:space="preserve">Sur la base des travaux de modélisation réalisés, la commission propose, en partant de </w:t>
      </w:r>
      <w:r w:rsidRPr="00E655A9">
        <w:rPr>
          <w:rFonts w:ascii="Garamond" w:hAnsi="Garamond"/>
          <w:i/>
          <w:color w:val="000000" w:themeColor="text1"/>
          <w:u w:val="single"/>
        </w:rPr>
        <w:t>54 € en 2018</w:t>
      </w:r>
      <w:r w:rsidRPr="00E655A9">
        <w:rPr>
          <w:rFonts w:ascii="Garamond" w:hAnsi="Garamond"/>
          <w:i/>
          <w:color w:val="000000" w:themeColor="text1"/>
        </w:rPr>
        <w:t>, de retenir une valeur cible de l</w:t>
      </w:r>
      <w:r w:rsidR="00F86CA7">
        <w:rPr>
          <w:rFonts w:ascii="Garamond" w:hAnsi="Garamond"/>
          <w:i/>
          <w:color w:val="000000" w:themeColor="text1"/>
        </w:rPr>
        <w:t>’</w:t>
      </w:r>
      <w:r w:rsidRPr="00E655A9">
        <w:rPr>
          <w:rFonts w:ascii="Garamond" w:hAnsi="Garamond"/>
          <w:i/>
          <w:color w:val="000000" w:themeColor="text1"/>
        </w:rPr>
        <w:t xml:space="preserve">action pour le climat de </w:t>
      </w:r>
      <w:r w:rsidRPr="00E655A9">
        <w:rPr>
          <w:rFonts w:ascii="Garamond" w:hAnsi="Garamond"/>
          <w:i/>
          <w:color w:val="000000" w:themeColor="text1"/>
          <w:u w:val="single"/>
        </w:rPr>
        <w:t>250 € en 2030</w:t>
      </w:r>
      <w:r>
        <w:rPr>
          <w:rFonts w:ascii="Garamond" w:hAnsi="Garamond"/>
          <w:color w:val="000000" w:themeColor="text1"/>
        </w:rPr>
        <w:t> » (</w:t>
      </w:r>
      <w:r w:rsidRPr="00E655A9">
        <w:rPr>
          <w:rFonts w:ascii="Garamond" w:hAnsi="Garamond"/>
          <w:b/>
          <w:color w:val="000000" w:themeColor="text1"/>
          <w:u w:val="single"/>
        </w:rPr>
        <w:t>Production n° </w:t>
      </w:r>
      <w:r w:rsidR="00BE3C13">
        <w:rPr>
          <w:rFonts w:ascii="Garamond" w:hAnsi="Garamond"/>
          <w:b/>
          <w:color w:val="000000" w:themeColor="text1"/>
          <w:u w:val="single"/>
        </w:rPr>
        <w:t>6</w:t>
      </w:r>
      <w:r>
        <w:rPr>
          <w:rFonts w:ascii="Garamond" w:hAnsi="Garamond"/>
          <w:color w:val="000000" w:themeColor="text1"/>
        </w:rPr>
        <w:t xml:space="preserve">, p. 3, 16 et 21 ; soulignement ajouté). </w:t>
      </w:r>
    </w:p>
    <w:p w14:paraId="1FC9255F" w14:textId="77777777" w:rsidR="004746BB" w:rsidRDefault="004746BB" w:rsidP="004746BB">
      <w:pPr>
        <w:spacing w:line="252" w:lineRule="auto"/>
        <w:jc w:val="both"/>
        <w:rPr>
          <w:rFonts w:ascii="Garamond" w:hAnsi="Garamond"/>
          <w:color w:val="000000" w:themeColor="text1"/>
        </w:rPr>
      </w:pPr>
    </w:p>
    <w:p w14:paraId="02AB68B6" w14:textId="5B78A02E" w:rsidR="004746BB" w:rsidRPr="00E655A9" w:rsidRDefault="004746BB" w:rsidP="004746BB">
      <w:pPr>
        <w:spacing w:line="252" w:lineRule="auto"/>
        <w:jc w:val="both"/>
        <w:rPr>
          <w:rFonts w:ascii="Garamond" w:hAnsi="Garamond"/>
          <w:color w:val="000000" w:themeColor="text1"/>
        </w:rPr>
      </w:pPr>
      <w:r>
        <w:rPr>
          <w:rFonts w:ascii="Garamond" w:hAnsi="Garamond"/>
          <w:color w:val="000000" w:themeColor="text1"/>
        </w:rPr>
        <w:t>Dans ce cadre, le rapport de la Commission Quinet propose une progression linéaire de la valeur tutélaire du carbone entre 2018 et 2030, comme l</w:t>
      </w:r>
      <w:r w:rsidR="00F86CA7">
        <w:rPr>
          <w:rFonts w:ascii="Garamond" w:hAnsi="Garamond"/>
          <w:color w:val="000000" w:themeColor="text1"/>
        </w:rPr>
        <w:t>’</w:t>
      </w:r>
      <w:r>
        <w:rPr>
          <w:rFonts w:ascii="Garamond" w:hAnsi="Garamond"/>
          <w:color w:val="000000" w:themeColor="text1"/>
        </w:rPr>
        <w:t xml:space="preserve">illustre le graphique ci-dessous : </w:t>
      </w:r>
    </w:p>
    <w:p w14:paraId="04DCAE44" w14:textId="77777777" w:rsidR="004746BB" w:rsidRDefault="004746BB" w:rsidP="004746BB">
      <w:pPr>
        <w:spacing w:line="252" w:lineRule="auto"/>
        <w:jc w:val="center"/>
        <w:rPr>
          <w:rFonts w:ascii="Garamond" w:hAnsi="Garamond"/>
          <w:b/>
          <w:color w:val="000000" w:themeColor="text1"/>
        </w:rPr>
      </w:pPr>
      <w:r w:rsidRPr="00BB57FB">
        <w:rPr>
          <w:rFonts w:ascii="Garamond" w:hAnsi="Garamond"/>
          <w:noProof/>
          <w:color w:val="000000" w:themeColor="text1"/>
        </w:rPr>
        <w:drawing>
          <wp:anchor distT="0" distB="0" distL="114300" distR="114300" simplePos="0" relativeHeight="251661312" behindDoc="0" locked="0" layoutInCell="1" allowOverlap="1" wp14:anchorId="25B000AA" wp14:editId="6C162E5B">
            <wp:simplePos x="0" y="0"/>
            <wp:positionH relativeFrom="column">
              <wp:posOffset>3175</wp:posOffset>
            </wp:positionH>
            <wp:positionV relativeFrom="paragraph">
              <wp:posOffset>194804</wp:posOffset>
            </wp:positionV>
            <wp:extent cx="5760720" cy="3208020"/>
            <wp:effectExtent l="12700" t="12700" r="17780" b="17780"/>
            <wp:wrapTopAndBottom/>
            <wp:docPr id="29" name="Image 29" descr="Une image contenant texte, capture d’écran, lign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Une image contenant texte, capture d’écran, ligne, diagramme&#10;&#10;Description générée automatiquement"/>
                    <pic:cNvPicPr/>
                  </pic:nvPicPr>
                  <pic:blipFill>
                    <a:blip r:embed="rId10"/>
                    <a:stretch>
                      <a:fillRect/>
                    </a:stretch>
                  </pic:blipFill>
                  <pic:spPr>
                    <a:xfrm>
                      <a:off x="0" y="0"/>
                      <a:ext cx="5760720" cy="32080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1161743" w14:textId="7E9921A8" w:rsidR="004746BB" w:rsidRPr="00BB57FB" w:rsidRDefault="004746BB" w:rsidP="004746BB">
      <w:pPr>
        <w:spacing w:line="252" w:lineRule="auto"/>
        <w:jc w:val="center"/>
        <w:rPr>
          <w:rFonts w:ascii="Garamond" w:hAnsi="Garamond"/>
          <w:color w:val="000000" w:themeColor="text1"/>
        </w:rPr>
      </w:pPr>
      <w:r w:rsidRPr="00BB57FB">
        <w:rPr>
          <w:rFonts w:ascii="Garamond" w:hAnsi="Garamond"/>
          <w:color w:val="000000" w:themeColor="text1"/>
        </w:rPr>
        <w:t>(</w:t>
      </w:r>
      <w:r w:rsidRPr="00BB57FB">
        <w:rPr>
          <w:rFonts w:ascii="Garamond" w:hAnsi="Garamond"/>
          <w:b/>
          <w:color w:val="000000" w:themeColor="text1"/>
          <w:u w:val="single"/>
        </w:rPr>
        <w:t>Production n° </w:t>
      </w:r>
      <w:r w:rsidR="00BE3C13">
        <w:rPr>
          <w:rFonts w:ascii="Garamond" w:hAnsi="Garamond"/>
          <w:b/>
          <w:color w:val="000000" w:themeColor="text1"/>
          <w:u w:val="single"/>
        </w:rPr>
        <w:t>6</w:t>
      </w:r>
      <w:r w:rsidRPr="00BB57FB">
        <w:rPr>
          <w:rFonts w:ascii="Garamond" w:hAnsi="Garamond"/>
          <w:color w:val="000000" w:themeColor="text1"/>
        </w:rPr>
        <w:t>, p. 23)</w:t>
      </w:r>
    </w:p>
    <w:p w14:paraId="6787246B" w14:textId="77777777" w:rsidR="004746BB" w:rsidRPr="00BB57FB" w:rsidRDefault="004746BB" w:rsidP="004746BB">
      <w:pPr>
        <w:spacing w:line="252" w:lineRule="auto"/>
        <w:jc w:val="both"/>
        <w:rPr>
          <w:rFonts w:ascii="Garamond" w:hAnsi="Garamond"/>
          <w:color w:val="000000" w:themeColor="text1"/>
        </w:rPr>
      </w:pPr>
    </w:p>
    <w:p w14:paraId="468D0B94" w14:textId="77777777" w:rsidR="004746BB" w:rsidRDefault="004746BB" w:rsidP="004746BB">
      <w:pPr>
        <w:rPr>
          <w:rFonts w:ascii="Garamond" w:hAnsi="Garamond"/>
          <w:color w:val="000000" w:themeColor="text1"/>
        </w:rPr>
      </w:pPr>
      <w:r>
        <w:rPr>
          <w:rFonts w:ascii="Garamond" w:hAnsi="Garamond"/>
          <w:color w:val="000000" w:themeColor="text1"/>
        </w:rPr>
        <w:br w:type="page"/>
      </w:r>
    </w:p>
    <w:p w14:paraId="2C0201BC" w14:textId="77777777" w:rsidR="004746BB" w:rsidRPr="00BB57FB" w:rsidRDefault="004746BB" w:rsidP="004746BB">
      <w:pPr>
        <w:spacing w:line="252" w:lineRule="auto"/>
        <w:jc w:val="both"/>
        <w:rPr>
          <w:rFonts w:ascii="Garamond" w:hAnsi="Garamond"/>
          <w:color w:val="000000" w:themeColor="text1"/>
        </w:rPr>
      </w:pPr>
      <w:r>
        <w:rPr>
          <w:rFonts w:ascii="Garamond" w:hAnsi="Garamond"/>
          <w:color w:val="000000" w:themeColor="text1"/>
        </w:rPr>
        <w:lastRenderedPageBreak/>
        <w:t>Sur cette base, l</w:t>
      </w:r>
      <w:r w:rsidRPr="00BB57FB">
        <w:rPr>
          <w:rFonts w:ascii="Garamond" w:hAnsi="Garamond"/>
          <w:color w:val="000000" w:themeColor="text1"/>
        </w:rPr>
        <w:t xml:space="preserve">e tableau suivant présente une interpolation linéaire </w:t>
      </w:r>
      <w:r>
        <w:rPr>
          <w:rFonts w:ascii="Garamond" w:hAnsi="Garamond"/>
          <w:color w:val="000000" w:themeColor="text1"/>
        </w:rPr>
        <w:t>de</w:t>
      </w:r>
      <w:r w:rsidRPr="00BB57FB">
        <w:rPr>
          <w:rFonts w:ascii="Garamond" w:hAnsi="Garamond"/>
          <w:color w:val="000000" w:themeColor="text1"/>
        </w:rPr>
        <w:t xml:space="preserve"> la valeur tutélaire de la tonne de CO</w:t>
      </w:r>
      <w:r w:rsidRPr="00BB57FB">
        <w:rPr>
          <w:rFonts w:ascii="Garamond" w:hAnsi="Garamond"/>
          <w:color w:val="000000" w:themeColor="text1"/>
          <w:vertAlign w:val="subscript"/>
        </w:rPr>
        <w:t>2</w:t>
      </w:r>
      <w:r w:rsidRPr="00BB57FB">
        <w:rPr>
          <w:rFonts w:ascii="Garamond" w:hAnsi="Garamond"/>
          <w:color w:val="000000" w:themeColor="text1"/>
        </w:rPr>
        <w:t xml:space="preserve">eq </w:t>
      </w:r>
      <w:r>
        <w:rPr>
          <w:rFonts w:ascii="Garamond" w:hAnsi="Garamond"/>
          <w:color w:val="000000" w:themeColor="text1"/>
        </w:rPr>
        <w:t>pour les années</w:t>
      </w:r>
      <w:r w:rsidRPr="00BB57FB">
        <w:rPr>
          <w:rFonts w:ascii="Garamond" w:hAnsi="Garamond"/>
          <w:color w:val="000000" w:themeColor="text1"/>
        </w:rPr>
        <w:t xml:space="preserve"> 2018 </w:t>
      </w:r>
      <w:r>
        <w:rPr>
          <w:rFonts w:ascii="Garamond" w:hAnsi="Garamond"/>
          <w:color w:val="000000" w:themeColor="text1"/>
        </w:rPr>
        <w:t>à</w:t>
      </w:r>
      <w:r w:rsidRPr="00BB57FB">
        <w:rPr>
          <w:rFonts w:ascii="Garamond" w:hAnsi="Garamond"/>
          <w:color w:val="000000" w:themeColor="text1"/>
        </w:rPr>
        <w:t xml:space="preserve"> 2030 :</w:t>
      </w:r>
    </w:p>
    <w:p w14:paraId="64096262" w14:textId="77777777" w:rsidR="004746BB" w:rsidRPr="00BB57FB" w:rsidRDefault="004746BB" w:rsidP="004746BB">
      <w:pPr>
        <w:spacing w:line="252" w:lineRule="auto"/>
        <w:jc w:val="both"/>
        <w:rPr>
          <w:rFonts w:ascii="Garamond" w:hAnsi="Garamond"/>
          <w:color w:val="000000" w:themeColor="text1"/>
        </w:rPr>
      </w:pPr>
    </w:p>
    <w:tbl>
      <w:tblPr>
        <w:tblStyle w:val="Grilledutableau"/>
        <w:tblW w:w="8667" w:type="dxa"/>
        <w:jc w:val="center"/>
        <w:tblLook w:val="04A0" w:firstRow="1" w:lastRow="0" w:firstColumn="1" w:lastColumn="0" w:noHBand="0" w:noVBand="1"/>
      </w:tblPr>
      <w:tblGrid>
        <w:gridCol w:w="1748"/>
        <w:gridCol w:w="1120"/>
        <w:gridCol w:w="956"/>
        <w:gridCol w:w="958"/>
        <w:gridCol w:w="935"/>
        <w:gridCol w:w="996"/>
        <w:gridCol w:w="996"/>
        <w:gridCol w:w="958"/>
      </w:tblGrid>
      <w:tr w:rsidR="004746BB" w:rsidRPr="00292A0C" w14:paraId="1ABB8804" w14:textId="77777777" w:rsidTr="00EF0C20">
        <w:trPr>
          <w:trHeight w:val="531"/>
          <w:jc w:val="center"/>
        </w:trPr>
        <w:tc>
          <w:tcPr>
            <w:tcW w:w="1748" w:type="dxa"/>
            <w:noWrap/>
            <w:vAlign w:val="center"/>
            <w:hideMark/>
          </w:tcPr>
          <w:p w14:paraId="571048AE" w14:textId="77777777" w:rsidR="004746BB" w:rsidRPr="008D3F3D" w:rsidRDefault="004746BB" w:rsidP="00EF0C20">
            <w:pPr>
              <w:jc w:val="center"/>
              <w:rPr>
                <w:rFonts w:ascii="Garamond" w:hAnsi="Garamond" w:cs="Calibri"/>
                <w:b/>
                <w:bCs/>
                <w:color w:val="000000"/>
              </w:rPr>
            </w:pPr>
            <w:r w:rsidRPr="008D3F3D">
              <w:rPr>
                <w:rFonts w:ascii="Garamond" w:hAnsi="Garamond" w:cs="Calibri"/>
                <w:b/>
                <w:bCs/>
                <w:color w:val="000000"/>
              </w:rPr>
              <w:t>Année</w:t>
            </w:r>
          </w:p>
        </w:tc>
        <w:tc>
          <w:tcPr>
            <w:tcW w:w="1120" w:type="dxa"/>
            <w:noWrap/>
            <w:vAlign w:val="center"/>
            <w:hideMark/>
          </w:tcPr>
          <w:p w14:paraId="26C11773"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2018</w:t>
            </w:r>
          </w:p>
        </w:tc>
        <w:tc>
          <w:tcPr>
            <w:tcW w:w="956" w:type="dxa"/>
            <w:noWrap/>
            <w:vAlign w:val="center"/>
            <w:hideMark/>
          </w:tcPr>
          <w:p w14:paraId="58AD6141"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2019</w:t>
            </w:r>
          </w:p>
        </w:tc>
        <w:tc>
          <w:tcPr>
            <w:tcW w:w="958" w:type="dxa"/>
            <w:noWrap/>
            <w:vAlign w:val="center"/>
            <w:hideMark/>
          </w:tcPr>
          <w:p w14:paraId="0E78E996"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2020</w:t>
            </w:r>
          </w:p>
        </w:tc>
        <w:tc>
          <w:tcPr>
            <w:tcW w:w="935" w:type="dxa"/>
            <w:noWrap/>
            <w:vAlign w:val="center"/>
            <w:hideMark/>
          </w:tcPr>
          <w:p w14:paraId="4FA5D358" w14:textId="77777777" w:rsidR="004746BB" w:rsidRPr="00A07440" w:rsidRDefault="004746BB" w:rsidP="00EF0C20">
            <w:pPr>
              <w:jc w:val="center"/>
              <w:rPr>
                <w:rFonts w:ascii="Garamond" w:hAnsi="Garamond" w:cs="Calibri"/>
                <w:color w:val="000000"/>
              </w:rPr>
            </w:pPr>
            <w:r w:rsidRPr="00A07440">
              <w:rPr>
                <w:rFonts w:ascii="Garamond" w:hAnsi="Garamond" w:cs="Calibri"/>
                <w:color w:val="000000"/>
              </w:rPr>
              <w:t>2021</w:t>
            </w:r>
          </w:p>
        </w:tc>
        <w:tc>
          <w:tcPr>
            <w:tcW w:w="996" w:type="dxa"/>
            <w:noWrap/>
            <w:vAlign w:val="center"/>
            <w:hideMark/>
          </w:tcPr>
          <w:p w14:paraId="27A9A51F"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2022</w:t>
            </w:r>
          </w:p>
        </w:tc>
        <w:tc>
          <w:tcPr>
            <w:tcW w:w="996" w:type="dxa"/>
            <w:noWrap/>
            <w:vAlign w:val="center"/>
            <w:hideMark/>
          </w:tcPr>
          <w:p w14:paraId="32305B0C"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2023</w:t>
            </w:r>
          </w:p>
        </w:tc>
        <w:tc>
          <w:tcPr>
            <w:tcW w:w="958" w:type="dxa"/>
            <w:vAlign w:val="center"/>
          </w:tcPr>
          <w:p w14:paraId="0421AB76"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2024</w:t>
            </w:r>
          </w:p>
        </w:tc>
      </w:tr>
      <w:tr w:rsidR="004746BB" w:rsidRPr="00292A0C" w14:paraId="30AAD2F5" w14:textId="77777777" w:rsidTr="00EF0C20">
        <w:trPr>
          <w:trHeight w:val="531"/>
          <w:jc w:val="center"/>
        </w:trPr>
        <w:tc>
          <w:tcPr>
            <w:tcW w:w="1748" w:type="dxa"/>
            <w:noWrap/>
            <w:vAlign w:val="center"/>
            <w:hideMark/>
          </w:tcPr>
          <w:p w14:paraId="275DB322" w14:textId="77777777" w:rsidR="004746BB" w:rsidRPr="008D3F3D" w:rsidRDefault="004746BB" w:rsidP="00EF0C20">
            <w:pPr>
              <w:jc w:val="center"/>
              <w:rPr>
                <w:rFonts w:ascii="Garamond" w:hAnsi="Garamond" w:cs="Calibri"/>
                <w:b/>
                <w:bCs/>
                <w:color w:val="000000"/>
              </w:rPr>
            </w:pPr>
            <w:r w:rsidRPr="008D3F3D">
              <w:rPr>
                <w:rFonts w:ascii="Garamond" w:hAnsi="Garamond" w:cs="Calibri"/>
                <w:b/>
                <w:bCs/>
                <w:color w:val="000000"/>
              </w:rPr>
              <w:t>Valeur de la tonne (€)</w:t>
            </w:r>
          </w:p>
        </w:tc>
        <w:tc>
          <w:tcPr>
            <w:tcW w:w="1120" w:type="dxa"/>
            <w:noWrap/>
            <w:vAlign w:val="center"/>
            <w:hideMark/>
          </w:tcPr>
          <w:p w14:paraId="50ADE33C"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54,00</w:t>
            </w:r>
          </w:p>
        </w:tc>
        <w:tc>
          <w:tcPr>
            <w:tcW w:w="956" w:type="dxa"/>
            <w:noWrap/>
            <w:vAlign w:val="center"/>
            <w:hideMark/>
          </w:tcPr>
          <w:p w14:paraId="39F3645E"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70,33</w:t>
            </w:r>
          </w:p>
        </w:tc>
        <w:tc>
          <w:tcPr>
            <w:tcW w:w="958" w:type="dxa"/>
            <w:noWrap/>
            <w:vAlign w:val="center"/>
            <w:hideMark/>
          </w:tcPr>
          <w:p w14:paraId="495E2F62"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86,67</w:t>
            </w:r>
          </w:p>
        </w:tc>
        <w:tc>
          <w:tcPr>
            <w:tcW w:w="935" w:type="dxa"/>
            <w:noWrap/>
            <w:vAlign w:val="center"/>
            <w:hideMark/>
          </w:tcPr>
          <w:p w14:paraId="3D4C9626" w14:textId="77777777" w:rsidR="004746BB" w:rsidRPr="00A07440" w:rsidRDefault="004746BB" w:rsidP="00EF0C20">
            <w:pPr>
              <w:jc w:val="center"/>
              <w:rPr>
                <w:rFonts w:ascii="Garamond" w:hAnsi="Garamond" w:cs="Calibri"/>
                <w:color w:val="000000"/>
              </w:rPr>
            </w:pPr>
            <w:r w:rsidRPr="00A07440">
              <w:rPr>
                <w:rFonts w:ascii="Garamond" w:hAnsi="Garamond" w:cs="Calibri"/>
                <w:color w:val="000000"/>
              </w:rPr>
              <w:t>103,00</w:t>
            </w:r>
          </w:p>
        </w:tc>
        <w:tc>
          <w:tcPr>
            <w:tcW w:w="996" w:type="dxa"/>
            <w:noWrap/>
            <w:vAlign w:val="center"/>
            <w:hideMark/>
          </w:tcPr>
          <w:p w14:paraId="3E28F796"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119,33</w:t>
            </w:r>
          </w:p>
        </w:tc>
        <w:tc>
          <w:tcPr>
            <w:tcW w:w="996" w:type="dxa"/>
            <w:noWrap/>
            <w:vAlign w:val="center"/>
            <w:hideMark/>
          </w:tcPr>
          <w:p w14:paraId="44AF0FC8"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135,67</w:t>
            </w:r>
          </w:p>
        </w:tc>
        <w:tc>
          <w:tcPr>
            <w:tcW w:w="958" w:type="dxa"/>
            <w:vAlign w:val="center"/>
          </w:tcPr>
          <w:p w14:paraId="0AFD40C7"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152,00</w:t>
            </w:r>
          </w:p>
        </w:tc>
      </w:tr>
    </w:tbl>
    <w:p w14:paraId="246BD17B" w14:textId="77777777" w:rsidR="004746BB" w:rsidRPr="00BB57FB" w:rsidRDefault="004746BB" w:rsidP="004746BB">
      <w:pPr>
        <w:spacing w:line="252" w:lineRule="auto"/>
        <w:jc w:val="both"/>
        <w:rPr>
          <w:rFonts w:ascii="Garamond" w:hAnsi="Garamond"/>
          <w:color w:val="000000" w:themeColor="text1"/>
        </w:rPr>
      </w:pPr>
    </w:p>
    <w:tbl>
      <w:tblPr>
        <w:tblStyle w:val="Grilledutableau"/>
        <w:tblW w:w="8134" w:type="dxa"/>
        <w:jc w:val="center"/>
        <w:tblLook w:val="04A0" w:firstRow="1" w:lastRow="0" w:firstColumn="1" w:lastColumn="0" w:noHBand="0" w:noVBand="1"/>
      </w:tblPr>
      <w:tblGrid>
        <w:gridCol w:w="1844"/>
        <w:gridCol w:w="1182"/>
        <w:gridCol w:w="1009"/>
        <w:gridCol w:w="1011"/>
        <w:gridCol w:w="986"/>
        <w:gridCol w:w="1051"/>
        <w:gridCol w:w="1051"/>
      </w:tblGrid>
      <w:tr w:rsidR="004746BB" w:rsidRPr="00292A0C" w14:paraId="2E41718A" w14:textId="77777777" w:rsidTr="00EF0C20">
        <w:trPr>
          <w:trHeight w:val="574"/>
          <w:jc w:val="center"/>
        </w:trPr>
        <w:tc>
          <w:tcPr>
            <w:tcW w:w="1844" w:type="dxa"/>
            <w:noWrap/>
            <w:vAlign w:val="center"/>
            <w:hideMark/>
          </w:tcPr>
          <w:p w14:paraId="5750124E" w14:textId="77777777" w:rsidR="004746BB" w:rsidRPr="008D3F3D" w:rsidRDefault="004746BB" w:rsidP="00EF0C20">
            <w:pPr>
              <w:jc w:val="center"/>
              <w:rPr>
                <w:rFonts w:ascii="Garamond" w:hAnsi="Garamond" w:cs="Calibri"/>
                <w:b/>
                <w:bCs/>
                <w:color w:val="000000"/>
              </w:rPr>
            </w:pPr>
            <w:r w:rsidRPr="008D3F3D">
              <w:rPr>
                <w:rFonts w:ascii="Garamond" w:hAnsi="Garamond" w:cs="Calibri"/>
                <w:b/>
                <w:bCs/>
                <w:color w:val="000000"/>
              </w:rPr>
              <w:t>Année</w:t>
            </w:r>
          </w:p>
        </w:tc>
        <w:tc>
          <w:tcPr>
            <w:tcW w:w="1182" w:type="dxa"/>
            <w:noWrap/>
            <w:vAlign w:val="center"/>
            <w:hideMark/>
          </w:tcPr>
          <w:p w14:paraId="35DB2423" w14:textId="77777777" w:rsidR="004746BB" w:rsidRPr="008D3F3D" w:rsidRDefault="004746BB" w:rsidP="00EF0C20">
            <w:pPr>
              <w:jc w:val="center"/>
              <w:rPr>
                <w:rFonts w:ascii="Garamond" w:hAnsi="Garamond" w:cs="Calibri"/>
                <w:color w:val="000000"/>
              </w:rPr>
            </w:pPr>
            <w:r>
              <w:rPr>
                <w:rFonts w:ascii="Garamond" w:hAnsi="Garamond" w:cs="Calibri"/>
                <w:color w:val="000000"/>
              </w:rPr>
              <w:t>2025</w:t>
            </w:r>
          </w:p>
        </w:tc>
        <w:tc>
          <w:tcPr>
            <w:tcW w:w="1009" w:type="dxa"/>
            <w:noWrap/>
            <w:vAlign w:val="center"/>
            <w:hideMark/>
          </w:tcPr>
          <w:p w14:paraId="33061879" w14:textId="77777777" w:rsidR="004746BB" w:rsidRPr="008D3F3D" w:rsidRDefault="004746BB" w:rsidP="00EF0C20">
            <w:pPr>
              <w:jc w:val="center"/>
              <w:rPr>
                <w:rFonts w:ascii="Garamond" w:hAnsi="Garamond" w:cs="Calibri"/>
                <w:color w:val="000000"/>
              </w:rPr>
            </w:pPr>
            <w:r>
              <w:rPr>
                <w:rFonts w:ascii="Garamond" w:hAnsi="Garamond" w:cs="Calibri"/>
                <w:color w:val="000000"/>
              </w:rPr>
              <w:t>2026</w:t>
            </w:r>
          </w:p>
        </w:tc>
        <w:tc>
          <w:tcPr>
            <w:tcW w:w="1011" w:type="dxa"/>
            <w:noWrap/>
            <w:vAlign w:val="center"/>
            <w:hideMark/>
          </w:tcPr>
          <w:p w14:paraId="0BE5B7EC" w14:textId="77777777" w:rsidR="004746BB" w:rsidRPr="008D3F3D" w:rsidRDefault="004746BB" w:rsidP="00EF0C20">
            <w:pPr>
              <w:jc w:val="center"/>
              <w:rPr>
                <w:rFonts w:ascii="Garamond" w:hAnsi="Garamond" w:cs="Calibri"/>
                <w:color w:val="000000"/>
              </w:rPr>
            </w:pPr>
            <w:r>
              <w:rPr>
                <w:rFonts w:ascii="Garamond" w:hAnsi="Garamond" w:cs="Calibri"/>
                <w:color w:val="000000"/>
              </w:rPr>
              <w:t>2027</w:t>
            </w:r>
          </w:p>
        </w:tc>
        <w:tc>
          <w:tcPr>
            <w:tcW w:w="986" w:type="dxa"/>
            <w:noWrap/>
            <w:vAlign w:val="center"/>
            <w:hideMark/>
          </w:tcPr>
          <w:p w14:paraId="06CD83AC" w14:textId="77777777" w:rsidR="004746BB" w:rsidRPr="008D3F3D" w:rsidRDefault="004746BB" w:rsidP="00EF0C20">
            <w:pPr>
              <w:jc w:val="center"/>
              <w:rPr>
                <w:rFonts w:ascii="Garamond" w:hAnsi="Garamond" w:cs="Calibri"/>
                <w:bCs/>
                <w:color w:val="000000"/>
              </w:rPr>
            </w:pPr>
            <w:r>
              <w:rPr>
                <w:rFonts w:ascii="Garamond" w:hAnsi="Garamond" w:cs="Calibri"/>
                <w:bCs/>
                <w:color w:val="000000"/>
              </w:rPr>
              <w:t>2028</w:t>
            </w:r>
          </w:p>
        </w:tc>
        <w:tc>
          <w:tcPr>
            <w:tcW w:w="1051" w:type="dxa"/>
            <w:noWrap/>
            <w:vAlign w:val="center"/>
            <w:hideMark/>
          </w:tcPr>
          <w:p w14:paraId="15411409" w14:textId="77777777" w:rsidR="004746BB" w:rsidRPr="008D3F3D" w:rsidRDefault="004746BB" w:rsidP="00EF0C20">
            <w:pPr>
              <w:jc w:val="center"/>
              <w:rPr>
                <w:rFonts w:ascii="Garamond" w:hAnsi="Garamond" w:cs="Calibri"/>
                <w:color w:val="000000"/>
              </w:rPr>
            </w:pPr>
            <w:r>
              <w:rPr>
                <w:rFonts w:ascii="Garamond" w:hAnsi="Garamond" w:cs="Calibri"/>
                <w:color w:val="000000"/>
              </w:rPr>
              <w:t>2029</w:t>
            </w:r>
          </w:p>
        </w:tc>
        <w:tc>
          <w:tcPr>
            <w:tcW w:w="1051" w:type="dxa"/>
            <w:noWrap/>
            <w:vAlign w:val="center"/>
            <w:hideMark/>
          </w:tcPr>
          <w:p w14:paraId="7CAA59BC" w14:textId="77777777" w:rsidR="004746BB" w:rsidRPr="008D3F3D" w:rsidRDefault="004746BB" w:rsidP="00EF0C20">
            <w:pPr>
              <w:jc w:val="center"/>
              <w:rPr>
                <w:rFonts w:ascii="Garamond" w:hAnsi="Garamond" w:cs="Calibri"/>
                <w:color w:val="000000"/>
              </w:rPr>
            </w:pPr>
            <w:r>
              <w:rPr>
                <w:rFonts w:ascii="Garamond" w:hAnsi="Garamond" w:cs="Calibri"/>
                <w:color w:val="000000"/>
              </w:rPr>
              <w:t>2030</w:t>
            </w:r>
          </w:p>
        </w:tc>
      </w:tr>
      <w:tr w:rsidR="004746BB" w:rsidRPr="00292A0C" w14:paraId="20D55CD6" w14:textId="77777777" w:rsidTr="00EF0C20">
        <w:trPr>
          <w:trHeight w:val="574"/>
          <w:jc w:val="center"/>
        </w:trPr>
        <w:tc>
          <w:tcPr>
            <w:tcW w:w="1844" w:type="dxa"/>
            <w:noWrap/>
            <w:vAlign w:val="center"/>
            <w:hideMark/>
          </w:tcPr>
          <w:p w14:paraId="1FAD98DF" w14:textId="77777777" w:rsidR="004746BB" w:rsidRPr="008D3F3D" w:rsidRDefault="004746BB" w:rsidP="00EF0C20">
            <w:pPr>
              <w:jc w:val="center"/>
              <w:rPr>
                <w:rFonts w:ascii="Garamond" w:hAnsi="Garamond" w:cs="Calibri"/>
                <w:b/>
                <w:bCs/>
                <w:color w:val="000000"/>
              </w:rPr>
            </w:pPr>
            <w:r w:rsidRPr="008D3F3D">
              <w:rPr>
                <w:rFonts w:ascii="Garamond" w:hAnsi="Garamond" w:cs="Calibri"/>
                <w:b/>
                <w:bCs/>
                <w:color w:val="000000"/>
              </w:rPr>
              <w:t>Valeur de la tonne (€)</w:t>
            </w:r>
          </w:p>
        </w:tc>
        <w:tc>
          <w:tcPr>
            <w:tcW w:w="1182" w:type="dxa"/>
            <w:noWrap/>
            <w:vAlign w:val="center"/>
            <w:hideMark/>
          </w:tcPr>
          <w:p w14:paraId="61CE5F67"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168,33</w:t>
            </w:r>
          </w:p>
        </w:tc>
        <w:tc>
          <w:tcPr>
            <w:tcW w:w="1009" w:type="dxa"/>
            <w:noWrap/>
            <w:vAlign w:val="center"/>
            <w:hideMark/>
          </w:tcPr>
          <w:p w14:paraId="452EDBB1"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184,67</w:t>
            </w:r>
          </w:p>
        </w:tc>
        <w:tc>
          <w:tcPr>
            <w:tcW w:w="1011" w:type="dxa"/>
            <w:noWrap/>
            <w:vAlign w:val="center"/>
            <w:hideMark/>
          </w:tcPr>
          <w:p w14:paraId="31AEF702"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201,00</w:t>
            </w:r>
          </w:p>
        </w:tc>
        <w:tc>
          <w:tcPr>
            <w:tcW w:w="986" w:type="dxa"/>
            <w:noWrap/>
            <w:vAlign w:val="center"/>
            <w:hideMark/>
          </w:tcPr>
          <w:p w14:paraId="2046DC2C" w14:textId="77777777" w:rsidR="004746BB" w:rsidRPr="008D3F3D" w:rsidRDefault="004746BB" w:rsidP="00EF0C20">
            <w:pPr>
              <w:jc w:val="center"/>
              <w:rPr>
                <w:rFonts w:ascii="Garamond" w:hAnsi="Garamond" w:cs="Calibri"/>
                <w:bCs/>
                <w:color w:val="000000"/>
              </w:rPr>
            </w:pPr>
            <w:r w:rsidRPr="008D3F3D">
              <w:rPr>
                <w:rFonts w:ascii="Garamond" w:hAnsi="Garamond" w:cs="Calibri"/>
                <w:color w:val="000000"/>
              </w:rPr>
              <w:t>217,33</w:t>
            </w:r>
          </w:p>
        </w:tc>
        <w:tc>
          <w:tcPr>
            <w:tcW w:w="1051" w:type="dxa"/>
            <w:noWrap/>
            <w:vAlign w:val="center"/>
            <w:hideMark/>
          </w:tcPr>
          <w:p w14:paraId="597952A8"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233,67</w:t>
            </w:r>
          </w:p>
        </w:tc>
        <w:tc>
          <w:tcPr>
            <w:tcW w:w="1051" w:type="dxa"/>
            <w:noWrap/>
            <w:vAlign w:val="center"/>
            <w:hideMark/>
          </w:tcPr>
          <w:p w14:paraId="1E64EC99" w14:textId="77777777" w:rsidR="004746BB" w:rsidRPr="008D3F3D" w:rsidRDefault="004746BB" w:rsidP="00EF0C20">
            <w:pPr>
              <w:jc w:val="center"/>
              <w:rPr>
                <w:rFonts w:ascii="Garamond" w:hAnsi="Garamond" w:cs="Calibri"/>
                <w:color w:val="000000"/>
              </w:rPr>
            </w:pPr>
            <w:r w:rsidRPr="008D3F3D">
              <w:rPr>
                <w:rFonts w:ascii="Garamond" w:hAnsi="Garamond" w:cs="Calibri"/>
                <w:color w:val="000000"/>
              </w:rPr>
              <w:t>250,00</w:t>
            </w:r>
          </w:p>
        </w:tc>
      </w:tr>
    </w:tbl>
    <w:p w14:paraId="116C72FB" w14:textId="77777777" w:rsidR="004746BB" w:rsidRPr="00F52A38" w:rsidRDefault="004746BB" w:rsidP="00E93A65">
      <w:pPr>
        <w:spacing w:line="252" w:lineRule="auto"/>
        <w:jc w:val="both"/>
        <w:rPr>
          <w:rFonts w:ascii="Garamond" w:hAnsi="Garamond"/>
          <w:color w:val="000000" w:themeColor="text1"/>
        </w:rPr>
      </w:pPr>
    </w:p>
    <w:p w14:paraId="5D322821" w14:textId="77777777" w:rsidR="00E93A65" w:rsidRPr="00E93A65" w:rsidRDefault="00E93A65" w:rsidP="00E93A65">
      <w:pPr>
        <w:spacing w:line="252" w:lineRule="auto"/>
        <w:jc w:val="both"/>
        <w:rPr>
          <w:rFonts w:ascii="Garamond" w:hAnsi="Garamond"/>
          <w:color w:val="000000" w:themeColor="text1"/>
        </w:rPr>
      </w:pPr>
    </w:p>
    <w:p w14:paraId="683A649C" w14:textId="3E499D92" w:rsidR="00E93A65" w:rsidRPr="00E93A65" w:rsidRDefault="00E93A65" w:rsidP="00E93A65">
      <w:pPr>
        <w:spacing w:line="252" w:lineRule="auto"/>
        <w:jc w:val="both"/>
        <w:rPr>
          <w:rFonts w:ascii="Garamond" w:hAnsi="Garamond"/>
          <w:color w:val="000000" w:themeColor="text1"/>
        </w:rPr>
      </w:pPr>
      <w:r>
        <w:rPr>
          <w:rFonts w:ascii="Garamond" w:hAnsi="Garamond"/>
          <w:color w:val="000000" w:themeColor="text1"/>
        </w:rPr>
        <w:t xml:space="preserve">Autrement dit, </w:t>
      </w:r>
      <w:r w:rsidRPr="00E93A65">
        <w:rPr>
          <w:rFonts w:ascii="Garamond" w:hAnsi="Garamond"/>
          <w:color w:val="000000" w:themeColor="text1"/>
        </w:rPr>
        <w:t>la valeur tutélaire du carbone augmente</w:t>
      </w:r>
      <w:r>
        <w:rPr>
          <w:rFonts w:ascii="Garamond" w:hAnsi="Garamond"/>
          <w:color w:val="000000" w:themeColor="text1"/>
        </w:rPr>
        <w:t>, chaque année,</w:t>
      </w:r>
      <w:r w:rsidRPr="00E93A65">
        <w:rPr>
          <w:rFonts w:ascii="Garamond" w:hAnsi="Garamond"/>
          <w:color w:val="000000" w:themeColor="text1"/>
        </w:rPr>
        <w:t xml:space="preserve"> d</w:t>
      </w:r>
      <w:r w:rsidR="00F86CA7">
        <w:rPr>
          <w:rFonts w:ascii="Garamond" w:hAnsi="Garamond"/>
          <w:color w:val="000000" w:themeColor="text1"/>
        </w:rPr>
        <w:t>’</w:t>
      </w:r>
      <w:r w:rsidRPr="00E93A65">
        <w:rPr>
          <w:rFonts w:ascii="Garamond" w:hAnsi="Garamond"/>
          <w:color w:val="000000" w:themeColor="text1"/>
        </w:rPr>
        <w:t>environ 16,34 euros, soit une augmentation d</w:t>
      </w:r>
      <w:r w:rsidR="00F86CA7">
        <w:rPr>
          <w:rFonts w:ascii="Garamond" w:hAnsi="Garamond"/>
          <w:color w:val="000000" w:themeColor="text1"/>
        </w:rPr>
        <w:t>’</w:t>
      </w:r>
      <w:r w:rsidRPr="00E93A65">
        <w:rPr>
          <w:rFonts w:ascii="Garamond" w:hAnsi="Garamond"/>
          <w:color w:val="000000" w:themeColor="text1"/>
        </w:rPr>
        <w:t>environ 8,17 euros par semestre.</w:t>
      </w:r>
    </w:p>
    <w:p w14:paraId="2332A0B8" w14:textId="77777777" w:rsidR="00E93A65" w:rsidRPr="00E93A65" w:rsidRDefault="00E93A65" w:rsidP="00E93A65">
      <w:pPr>
        <w:spacing w:line="252" w:lineRule="auto"/>
        <w:jc w:val="both"/>
        <w:rPr>
          <w:rFonts w:ascii="Garamond" w:hAnsi="Garamond"/>
          <w:color w:val="000000" w:themeColor="text1"/>
        </w:rPr>
      </w:pPr>
    </w:p>
    <w:p w14:paraId="684C89D5" w14:textId="67CF3B08" w:rsidR="00E93A65" w:rsidRPr="00E93A65" w:rsidRDefault="00E93A65" w:rsidP="00E93A65">
      <w:pPr>
        <w:spacing w:line="252" w:lineRule="auto"/>
        <w:jc w:val="both"/>
        <w:rPr>
          <w:rFonts w:ascii="Garamond" w:hAnsi="Garamond"/>
          <w:color w:val="000000" w:themeColor="text1"/>
        </w:rPr>
      </w:pPr>
      <w:r>
        <w:rPr>
          <w:rFonts w:ascii="Garamond" w:hAnsi="Garamond"/>
          <w:color w:val="000000" w:themeColor="text1"/>
        </w:rPr>
        <w:t>À toutes fins utiles, il est souligné que c</w:t>
      </w:r>
      <w:r w:rsidRPr="00E93A65">
        <w:rPr>
          <w:rFonts w:ascii="Garamond" w:hAnsi="Garamond"/>
          <w:color w:val="000000" w:themeColor="text1"/>
        </w:rPr>
        <w:t>ette augmentation semestrielle de la valeur tutélaire du carbone est cohérente avec la tendance moyenne observée sur le marché européen du carbone (système d</w:t>
      </w:r>
      <w:r w:rsidR="00F86CA7">
        <w:rPr>
          <w:rFonts w:ascii="Garamond" w:hAnsi="Garamond"/>
          <w:color w:val="000000" w:themeColor="text1"/>
        </w:rPr>
        <w:t>’</w:t>
      </w:r>
      <w:r w:rsidRPr="00E93A65">
        <w:rPr>
          <w:rFonts w:ascii="Garamond" w:hAnsi="Garamond"/>
          <w:color w:val="000000" w:themeColor="text1"/>
        </w:rPr>
        <w:t>échange de quotas d</w:t>
      </w:r>
      <w:r w:rsidR="00F86CA7">
        <w:rPr>
          <w:rFonts w:ascii="Garamond" w:hAnsi="Garamond"/>
          <w:color w:val="000000" w:themeColor="text1"/>
        </w:rPr>
        <w:t>’</w:t>
      </w:r>
      <w:r w:rsidRPr="00E93A65">
        <w:rPr>
          <w:rFonts w:ascii="Garamond" w:hAnsi="Garamond"/>
          <w:color w:val="000000" w:themeColor="text1"/>
        </w:rPr>
        <w:t>émission de l</w:t>
      </w:r>
      <w:r w:rsidR="00F86CA7">
        <w:rPr>
          <w:rFonts w:ascii="Garamond" w:hAnsi="Garamond"/>
          <w:color w:val="000000" w:themeColor="text1"/>
        </w:rPr>
        <w:t>’</w:t>
      </w:r>
      <w:r w:rsidRPr="00E93A65">
        <w:rPr>
          <w:rFonts w:ascii="Garamond" w:hAnsi="Garamond"/>
          <w:color w:val="000000" w:themeColor="text1"/>
        </w:rPr>
        <w:t>Union européenne). En effet, le prix de la tonne de CO</w:t>
      </w:r>
      <w:r w:rsidRPr="00E93A65">
        <w:rPr>
          <w:rFonts w:ascii="Garamond" w:hAnsi="Garamond"/>
          <w:color w:val="000000" w:themeColor="text1"/>
          <w:vertAlign w:val="subscript"/>
        </w:rPr>
        <w:t>2</w:t>
      </w:r>
      <w:r w:rsidRPr="00E93A65">
        <w:rPr>
          <w:rFonts w:ascii="Garamond" w:hAnsi="Garamond"/>
          <w:color w:val="000000" w:themeColor="text1"/>
        </w:rPr>
        <w:t xml:space="preserve"> sur ce marché européen est passé de 25,01 euros au 31 décembre 2018 à 105,73 euros à la fin du mois de février 2023, soit en moyenne, sur cette période, une augmentation d</w:t>
      </w:r>
      <w:r w:rsidR="00F86CA7">
        <w:rPr>
          <w:rFonts w:ascii="Garamond" w:hAnsi="Garamond"/>
          <w:color w:val="000000" w:themeColor="text1"/>
        </w:rPr>
        <w:t>’</w:t>
      </w:r>
      <w:r w:rsidRPr="00E93A65">
        <w:rPr>
          <w:rFonts w:ascii="Garamond" w:hAnsi="Garamond"/>
          <w:color w:val="000000" w:themeColor="text1"/>
        </w:rPr>
        <w:t>environ 9,70 euros par semestre.</w:t>
      </w:r>
    </w:p>
    <w:p w14:paraId="23E0D1A8" w14:textId="77777777" w:rsidR="00E93A65" w:rsidRPr="00F52A38" w:rsidRDefault="00E93A65" w:rsidP="00E93A65">
      <w:pPr>
        <w:spacing w:line="252" w:lineRule="auto"/>
        <w:jc w:val="both"/>
        <w:rPr>
          <w:rFonts w:ascii="Garamond" w:hAnsi="Garamond"/>
          <w:color w:val="000000" w:themeColor="text1"/>
        </w:rPr>
      </w:pPr>
    </w:p>
    <w:p w14:paraId="02D7E7F6" w14:textId="77777777" w:rsidR="00E93A65" w:rsidRPr="00F52A38" w:rsidRDefault="00E93A65" w:rsidP="00E93A65">
      <w:pPr>
        <w:numPr>
          <w:ilvl w:val="0"/>
          <w:numId w:val="1"/>
        </w:numPr>
        <w:spacing w:line="252" w:lineRule="auto"/>
        <w:ind w:left="0" w:firstLine="0"/>
        <w:jc w:val="both"/>
        <w:rPr>
          <w:rFonts w:ascii="Garamond" w:hAnsi="Garamond"/>
          <w:color w:val="000000" w:themeColor="text1"/>
        </w:rPr>
      </w:pPr>
    </w:p>
    <w:p w14:paraId="5B50AC29" w14:textId="77777777" w:rsidR="00E93A65" w:rsidRPr="00E93A65" w:rsidRDefault="00E93A65" w:rsidP="00E93A65">
      <w:pPr>
        <w:spacing w:line="252" w:lineRule="auto"/>
        <w:jc w:val="both"/>
        <w:rPr>
          <w:rFonts w:ascii="Garamond" w:hAnsi="Garamond"/>
          <w:color w:val="000000" w:themeColor="text1"/>
        </w:rPr>
      </w:pPr>
    </w:p>
    <w:p w14:paraId="0C150F82" w14:textId="0BEB2D92" w:rsidR="00E93A65" w:rsidRDefault="00E93A65" w:rsidP="00E93A65">
      <w:pPr>
        <w:spacing w:line="252" w:lineRule="auto"/>
        <w:jc w:val="both"/>
        <w:rPr>
          <w:rFonts w:ascii="Garamond" w:hAnsi="Garamond"/>
          <w:color w:val="000000" w:themeColor="text1"/>
        </w:rPr>
      </w:pPr>
      <w:r w:rsidRPr="00E93A65">
        <w:rPr>
          <w:rFonts w:ascii="Garamond" w:hAnsi="Garamond"/>
          <w:color w:val="000000" w:themeColor="text1"/>
        </w:rPr>
        <w:t>Il en résulte que le retard dans l</w:t>
      </w:r>
      <w:r w:rsidR="00F86CA7">
        <w:rPr>
          <w:rFonts w:ascii="Garamond" w:hAnsi="Garamond"/>
          <w:color w:val="000000" w:themeColor="text1"/>
        </w:rPr>
        <w:t>’</w:t>
      </w:r>
      <w:r w:rsidRPr="00E93A65">
        <w:rPr>
          <w:rFonts w:ascii="Garamond" w:hAnsi="Garamond"/>
          <w:color w:val="000000" w:themeColor="text1"/>
        </w:rPr>
        <w:t>adoption des mesures permettant de réparer le préjudice écologique résultant du dépassement du premier budget carbone (2015-2018) implique, chaque année, un effort financier supplémentaire.</w:t>
      </w:r>
    </w:p>
    <w:p w14:paraId="7417C147" w14:textId="77777777" w:rsidR="00E93A65" w:rsidRDefault="00E93A65" w:rsidP="004746BB">
      <w:pPr>
        <w:spacing w:line="252" w:lineRule="auto"/>
        <w:jc w:val="both"/>
        <w:rPr>
          <w:rFonts w:ascii="Garamond" w:hAnsi="Garamond"/>
          <w:color w:val="000000" w:themeColor="text1"/>
        </w:rPr>
      </w:pPr>
    </w:p>
    <w:p w14:paraId="21D483E9" w14:textId="7ED82872" w:rsidR="00E93A65" w:rsidRDefault="00E93A65" w:rsidP="004746BB">
      <w:pPr>
        <w:spacing w:line="252" w:lineRule="auto"/>
        <w:jc w:val="both"/>
        <w:rPr>
          <w:rFonts w:ascii="Garamond" w:hAnsi="Garamond"/>
          <w:color w:val="000000" w:themeColor="text1"/>
        </w:rPr>
      </w:pPr>
      <w:r w:rsidRPr="00E93A65">
        <w:rPr>
          <w:rFonts w:ascii="Garamond" w:hAnsi="Garamond"/>
          <w:color w:val="000000" w:themeColor="text1"/>
        </w:rPr>
        <w:t>Autrement dit, compte tenu de l</w:t>
      </w:r>
      <w:r w:rsidR="00F86CA7">
        <w:rPr>
          <w:rFonts w:ascii="Garamond" w:hAnsi="Garamond"/>
          <w:color w:val="000000" w:themeColor="text1"/>
        </w:rPr>
        <w:t>’</w:t>
      </w:r>
      <w:r w:rsidRPr="00E93A65">
        <w:rPr>
          <w:rFonts w:ascii="Garamond" w:hAnsi="Garamond"/>
          <w:color w:val="000000" w:themeColor="text1"/>
        </w:rPr>
        <w:t xml:space="preserve">évolution de la valeur tutélaire du carbone, la mise en œuvre de mesures déterminées en 2023 représente un coût considérablement plus élevé que le coût nécessaire à la mise en œuvre des mêmes mesures </w:t>
      </w:r>
      <w:r>
        <w:rPr>
          <w:rFonts w:ascii="Garamond" w:hAnsi="Garamond"/>
          <w:color w:val="000000" w:themeColor="text1"/>
        </w:rPr>
        <w:t xml:space="preserve">au cours de </w:t>
      </w:r>
      <w:r w:rsidRPr="00E93A65">
        <w:rPr>
          <w:rFonts w:ascii="Garamond" w:hAnsi="Garamond"/>
          <w:color w:val="000000" w:themeColor="text1"/>
        </w:rPr>
        <w:t>l</w:t>
      </w:r>
      <w:r w:rsidR="00F86CA7">
        <w:rPr>
          <w:rFonts w:ascii="Garamond" w:hAnsi="Garamond"/>
          <w:color w:val="000000" w:themeColor="text1"/>
        </w:rPr>
        <w:t>’</w:t>
      </w:r>
      <w:r w:rsidRPr="00E93A65">
        <w:rPr>
          <w:rFonts w:ascii="Garamond" w:hAnsi="Garamond"/>
          <w:color w:val="000000" w:themeColor="text1"/>
        </w:rPr>
        <w:t>année 2018, qui correspond à la dernière année du premier budget</w:t>
      </w:r>
      <w:r>
        <w:rPr>
          <w:rFonts w:ascii="Garamond" w:hAnsi="Garamond"/>
          <w:color w:val="000000" w:themeColor="text1"/>
        </w:rPr>
        <w:t xml:space="preserve"> </w:t>
      </w:r>
      <w:r w:rsidRPr="00E93A65">
        <w:rPr>
          <w:rFonts w:ascii="Garamond" w:hAnsi="Garamond"/>
          <w:color w:val="000000" w:themeColor="text1"/>
        </w:rPr>
        <w:t>carbone.</w:t>
      </w:r>
    </w:p>
    <w:p w14:paraId="23BFECBA" w14:textId="77777777" w:rsidR="00E93A65" w:rsidRDefault="00E93A65" w:rsidP="004746BB">
      <w:pPr>
        <w:spacing w:line="252" w:lineRule="auto"/>
        <w:jc w:val="both"/>
        <w:rPr>
          <w:rFonts w:ascii="Garamond" w:hAnsi="Garamond"/>
          <w:color w:val="000000" w:themeColor="text1"/>
        </w:rPr>
      </w:pPr>
    </w:p>
    <w:p w14:paraId="28B3E996" w14:textId="36C86112" w:rsidR="00E93A65" w:rsidRPr="00E93A65" w:rsidRDefault="00E93A65" w:rsidP="00E93A65">
      <w:pPr>
        <w:spacing w:line="252" w:lineRule="auto"/>
        <w:jc w:val="both"/>
        <w:rPr>
          <w:rFonts w:ascii="Garamond" w:hAnsi="Garamond"/>
          <w:color w:val="000000" w:themeColor="text1"/>
        </w:rPr>
      </w:pPr>
      <w:r>
        <w:rPr>
          <w:rFonts w:ascii="Garamond" w:hAnsi="Garamond"/>
          <w:color w:val="000000" w:themeColor="text1"/>
        </w:rPr>
        <w:t>Pour c</w:t>
      </w:r>
      <w:r w:rsidRPr="00E93A65">
        <w:rPr>
          <w:rFonts w:ascii="Garamond" w:hAnsi="Garamond"/>
          <w:color w:val="000000" w:themeColor="text1"/>
        </w:rPr>
        <w:t>haque semestre</w:t>
      </w:r>
      <w:r>
        <w:rPr>
          <w:rFonts w:ascii="Garamond" w:hAnsi="Garamond"/>
          <w:color w:val="000000" w:themeColor="text1"/>
        </w:rPr>
        <w:t xml:space="preserve"> de retard</w:t>
      </w:r>
      <w:r w:rsidRPr="00E93A65">
        <w:rPr>
          <w:rFonts w:ascii="Garamond" w:hAnsi="Garamond"/>
          <w:color w:val="000000" w:themeColor="text1"/>
        </w:rPr>
        <w:t>, l</w:t>
      </w:r>
      <w:r w:rsidR="00F86CA7">
        <w:rPr>
          <w:rFonts w:ascii="Garamond" w:hAnsi="Garamond"/>
          <w:color w:val="000000" w:themeColor="text1"/>
        </w:rPr>
        <w:t>’</w:t>
      </w:r>
      <w:r w:rsidRPr="00E93A65">
        <w:rPr>
          <w:rFonts w:ascii="Garamond" w:hAnsi="Garamond"/>
          <w:color w:val="000000" w:themeColor="text1"/>
        </w:rPr>
        <w:t>effort financier supplémentaire pour mettre en œuvre les mesures permettant de compenser le préjudice correspondant aux 15 MtCO</w:t>
      </w:r>
      <w:r w:rsidRPr="00E93A65">
        <w:rPr>
          <w:rFonts w:ascii="Garamond" w:hAnsi="Garamond"/>
          <w:color w:val="000000" w:themeColor="text1"/>
          <w:vertAlign w:val="subscript"/>
        </w:rPr>
        <w:t>2</w:t>
      </w:r>
      <w:r w:rsidRPr="00E93A65">
        <w:rPr>
          <w:rFonts w:ascii="Garamond" w:hAnsi="Garamond"/>
          <w:color w:val="000000" w:themeColor="text1"/>
        </w:rPr>
        <w:t>eq, peut</w:t>
      </w:r>
      <w:r>
        <w:rPr>
          <w:rFonts w:ascii="Garamond" w:hAnsi="Garamond"/>
          <w:color w:val="000000" w:themeColor="text1"/>
        </w:rPr>
        <w:t xml:space="preserve"> ainsi</w:t>
      </w:r>
      <w:r w:rsidRPr="00E93A65">
        <w:rPr>
          <w:rFonts w:ascii="Garamond" w:hAnsi="Garamond"/>
          <w:color w:val="000000" w:themeColor="text1"/>
        </w:rPr>
        <w:t xml:space="preserve"> être évalué à un montant de 122,5 millions d</w:t>
      </w:r>
      <w:r w:rsidR="00F86CA7">
        <w:rPr>
          <w:rFonts w:ascii="Garamond" w:hAnsi="Garamond"/>
          <w:color w:val="000000" w:themeColor="text1"/>
        </w:rPr>
        <w:t>’</w:t>
      </w:r>
      <w:r w:rsidRPr="00E93A65">
        <w:rPr>
          <w:rFonts w:ascii="Garamond" w:hAnsi="Garamond"/>
          <w:color w:val="000000" w:themeColor="text1"/>
        </w:rPr>
        <w:t>euros</w:t>
      </w:r>
      <w:r>
        <w:rPr>
          <w:rFonts w:ascii="Garamond" w:hAnsi="Garamond"/>
          <w:color w:val="000000" w:themeColor="text1"/>
        </w:rPr>
        <w:t>, selon le calcul suivant</w:t>
      </w:r>
      <w:r w:rsidRPr="00E93A65">
        <w:rPr>
          <w:rFonts w:ascii="Garamond" w:hAnsi="Garamond"/>
          <w:color w:val="000000" w:themeColor="text1"/>
        </w:rPr>
        <w:t> :</w:t>
      </w:r>
    </w:p>
    <w:p w14:paraId="1914F80F" w14:textId="77777777" w:rsidR="00E93A65" w:rsidRPr="00E93A65" w:rsidRDefault="00E93A65" w:rsidP="00E93A65">
      <w:pPr>
        <w:spacing w:line="252" w:lineRule="auto"/>
        <w:jc w:val="both"/>
        <w:rPr>
          <w:rFonts w:ascii="Garamond" w:hAnsi="Garamond"/>
          <w:color w:val="000000" w:themeColor="text1"/>
        </w:rPr>
      </w:pPr>
    </w:p>
    <w:p w14:paraId="547D25C0" w14:textId="00C2A2AD" w:rsidR="00E93A65" w:rsidRPr="00E93A65" w:rsidRDefault="00E93A65" w:rsidP="00E93A65">
      <w:pPr>
        <w:spacing w:line="252" w:lineRule="auto"/>
        <w:jc w:val="both"/>
        <w:rPr>
          <w:rFonts w:ascii="Garamond" w:hAnsi="Garamond"/>
          <w:color w:val="000000" w:themeColor="text1"/>
        </w:rPr>
      </w:pPr>
      <m:oMathPara>
        <m:oMath>
          <m:r>
            <w:rPr>
              <w:rFonts w:ascii="Cambria Math" w:hAnsi="Cambria Math"/>
              <w:color w:val="000000" w:themeColor="text1"/>
            </w:rPr>
            <m:t>15 MtC</m:t>
          </m:r>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2</m:t>
              </m:r>
            </m:sub>
          </m:sSub>
          <m:r>
            <w:rPr>
              <w:rFonts w:ascii="Cambria Math" w:hAnsi="Cambria Math"/>
              <w:color w:val="000000" w:themeColor="text1"/>
            </w:rPr>
            <m:t>eq ×8,17 euros par tonne=15×</m:t>
          </m:r>
          <m:sSup>
            <m:sSupPr>
              <m:ctrlPr>
                <w:rPr>
                  <w:rFonts w:ascii="Cambria Math" w:hAnsi="Cambria Math"/>
                  <w:i/>
                  <w:color w:val="000000" w:themeColor="text1"/>
                </w:rPr>
              </m:ctrlPr>
            </m:sSupPr>
            <m:e>
              <m:r>
                <w:rPr>
                  <w:rFonts w:ascii="Cambria Math" w:hAnsi="Cambria Math"/>
                  <w:color w:val="000000" w:themeColor="text1"/>
                </w:rPr>
                <m:t>10</m:t>
              </m:r>
            </m:e>
            <m:sup>
              <m:r>
                <w:rPr>
                  <w:rFonts w:ascii="Cambria Math" w:hAnsi="Cambria Math"/>
                  <w:color w:val="000000" w:themeColor="text1"/>
                </w:rPr>
                <m:t>6</m:t>
              </m:r>
            </m:sup>
          </m:sSup>
          <m:r>
            <w:rPr>
              <w:rFonts w:ascii="Cambria Math" w:hAnsi="Cambria Math"/>
              <w:color w:val="000000" w:themeColor="text1"/>
            </w:rPr>
            <m:t>×8,17=122 500 000</m:t>
          </m:r>
        </m:oMath>
      </m:oMathPara>
    </w:p>
    <w:p w14:paraId="601E0978" w14:textId="77777777" w:rsidR="00E93A65" w:rsidRDefault="00E93A65" w:rsidP="00E93A65">
      <w:pPr>
        <w:spacing w:line="252" w:lineRule="auto"/>
        <w:jc w:val="both"/>
        <w:rPr>
          <w:rFonts w:ascii="Garamond" w:hAnsi="Garamond"/>
          <w:color w:val="000000" w:themeColor="text1"/>
        </w:rPr>
      </w:pPr>
    </w:p>
    <w:p w14:paraId="17110E6F" w14:textId="77777777" w:rsidR="00E93A65" w:rsidRPr="00E93A65" w:rsidRDefault="00E93A65" w:rsidP="00E93A65">
      <w:pPr>
        <w:spacing w:line="252" w:lineRule="auto"/>
        <w:jc w:val="both"/>
        <w:rPr>
          <w:rFonts w:ascii="Garamond" w:hAnsi="Garamond"/>
          <w:color w:val="000000" w:themeColor="text1"/>
        </w:rPr>
      </w:pPr>
      <w:r>
        <w:rPr>
          <w:rFonts w:ascii="Garamond" w:hAnsi="Garamond"/>
          <w:color w:val="000000" w:themeColor="text1"/>
        </w:rPr>
        <w:t xml:space="preserve">Or, à la date de la présente demande, près de neuf semestres se sont écoulés </w:t>
      </w:r>
      <w:r w:rsidRPr="00E93A65">
        <w:rPr>
          <w:rFonts w:ascii="Garamond" w:hAnsi="Garamond"/>
          <w:color w:val="000000" w:themeColor="text1"/>
        </w:rPr>
        <w:t>depuis la fin du premier budget-carbone.</w:t>
      </w:r>
    </w:p>
    <w:p w14:paraId="046379D1" w14:textId="77777777" w:rsidR="00E93A65" w:rsidRPr="00E93A65" w:rsidRDefault="00E93A65" w:rsidP="00E93A65">
      <w:pPr>
        <w:spacing w:line="252" w:lineRule="auto"/>
        <w:jc w:val="both"/>
        <w:rPr>
          <w:rFonts w:ascii="Garamond" w:hAnsi="Garamond"/>
          <w:color w:val="000000" w:themeColor="text1"/>
        </w:rPr>
      </w:pPr>
    </w:p>
    <w:p w14:paraId="7744F0F5" w14:textId="50192094" w:rsidR="00E93A65" w:rsidRPr="00E93A65" w:rsidRDefault="00E93A65" w:rsidP="00E93A65">
      <w:pPr>
        <w:spacing w:line="252" w:lineRule="auto"/>
        <w:jc w:val="both"/>
        <w:rPr>
          <w:rFonts w:ascii="Garamond" w:hAnsi="Garamond"/>
          <w:color w:val="000000" w:themeColor="text1"/>
        </w:rPr>
      </w:pPr>
      <w:r w:rsidRPr="00E93A65">
        <w:rPr>
          <w:rFonts w:ascii="Garamond" w:hAnsi="Garamond"/>
          <w:color w:val="000000" w:themeColor="text1"/>
        </w:rPr>
        <w:t>Par suite, à l</w:t>
      </w:r>
      <w:r w:rsidR="00F86CA7">
        <w:rPr>
          <w:rFonts w:ascii="Garamond" w:hAnsi="Garamond"/>
          <w:color w:val="000000" w:themeColor="text1"/>
        </w:rPr>
        <w:t>’</w:t>
      </w:r>
      <w:r w:rsidRPr="00E93A65">
        <w:rPr>
          <w:rFonts w:ascii="Garamond" w:hAnsi="Garamond"/>
          <w:color w:val="000000" w:themeColor="text1"/>
        </w:rPr>
        <w:t>issue du premier semestre de l</w:t>
      </w:r>
      <w:r w:rsidR="00F86CA7">
        <w:rPr>
          <w:rFonts w:ascii="Garamond" w:hAnsi="Garamond"/>
          <w:color w:val="000000" w:themeColor="text1"/>
        </w:rPr>
        <w:t>’</w:t>
      </w:r>
      <w:r w:rsidRPr="00E93A65">
        <w:rPr>
          <w:rFonts w:ascii="Garamond" w:hAnsi="Garamond"/>
          <w:color w:val="000000" w:themeColor="text1"/>
        </w:rPr>
        <w:t>année 2023, l</w:t>
      </w:r>
      <w:r w:rsidR="00F86CA7">
        <w:rPr>
          <w:rFonts w:ascii="Garamond" w:hAnsi="Garamond"/>
          <w:color w:val="000000" w:themeColor="text1"/>
        </w:rPr>
        <w:t>’</w:t>
      </w:r>
      <w:r w:rsidRPr="00E93A65">
        <w:rPr>
          <w:rFonts w:ascii="Garamond" w:hAnsi="Garamond"/>
          <w:color w:val="000000" w:themeColor="text1"/>
        </w:rPr>
        <w:t>effort financier supplémentaire peut être évalué à un coût d</w:t>
      </w:r>
      <w:r w:rsidR="00F86CA7">
        <w:rPr>
          <w:rFonts w:ascii="Garamond" w:hAnsi="Garamond"/>
          <w:color w:val="000000" w:themeColor="text1"/>
        </w:rPr>
        <w:t>’</w:t>
      </w:r>
      <w:r w:rsidRPr="00E93A65">
        <w:rPr>
          <w:rFonts w:ascii="Garamond" w:hAnsi="Garamond"/>
          <w:color w:val="000000" w:themeColor="text1"/>
        </w:rPr>
        <w:t>1 milliard et 102,5 millions d</w:t>
      </w:r>
      <w:r w:rsidR="00F86CA7">
        <w:rPr>
          <w:rFonts w:ascii="Garamond" w:hAnsi="Garamond"/>
          <w:color w:val="000000" w:themeColor="text1"/>
        </w:rPr>
        <w:t>’</w:t>
      </w:r>
      <w:r w:rsidRPr="00E93A65">
        <w:rPr>
          <w:rFonts w:ascii="Garamond" w:hAnsi="Garamond"/>
          <w:color w:val="000000" w:themeColor="text1"/>
        </w:rPr>
        <w:t>euros :</w:t>
      </w:r>
    </w:p>
    <w:p w14:paraId="1421BDC0" w14:textId="77777777" w:rsidR="00E93A65" w:rsidRDefault="00E93A65" w:rsidP="00E93A65">
      <w:pPr>
        <w:autoSpaceDE w:val="0"/>
        <w:autoSpaceDN w:val="0"/>
        <w:adjustRightInd w:val="0"/>
        <w:spacing w:line="276" w:lineRule="auto"/>
        <w:jc w:val="both"/>
        <w:rPr>
          <w:rFonts w:ascii="Garamond" w:hAnsi="Garamond"/>
        </w:rPr>
      </w:pPr>
    </w:p>
    <w:p w14:paraId="6D7929B7" w14:textId="77777777" w:rsidR="00E93A65" w:rsidRDefault="00E93A65" w:rsidP="00E93A65">
      <w:pPr>
        <w:autoSpaceDE w:val="0"/>
        <w:autoSpaceDN w:val="0"/>
        <w:adjustRightInd w:val="0"/>
        <w:spacing w:line="276" w:lineRule="auto"/>
        <w:jc w:val="both"/>
        <w:rPr>
          <w:rFonts w:ascii="Garamond" w:hAnsi="Garamond"/>
        </w:rPr>
      </w:pPr>
      <m:oMathPara>
        <m:oMath>
          <m:r>
            <w:rPr>
              <w:rFonts w:ascii="Cambria Math" w:hAnsi="Cambria Math"/>
            </w:rPr>
            <m:t>9 semestres ×122 500 000 €=1 102 500 000 €</m:t>
          </m:r>
        </m:oMath>
      </m:oMathPara>
    </w:p>
    <w:p w14:paraId="5C424FCF" w14:textId="77777777" w:rsidR="00E93A65" w:rsidRPr="00FF1992" w:rsidRDefault="00E93A65" w:rsidP="00E93A65">
      <w:pPr>
        <w:autoSpaceDE w:val="0"/>
        <w:autoSpaceDN w:val="0"/>
        <w:adjustRightInd w:val="0"/>
        <w:spacing w:line="276" w:lineRule="auto"/>
        <w:jc w:val="both"/>
        <w:rPr>
          <w:rFonts w:ascii="Garamond" w:hAnsi="Garamond"/>
        </w:rPr>
      </w:pPr>
    </w:p>
    <w:tbl>
      <w:tblPr>
        <w:tblStyle w:val="Grilledutableau"/>
        <w:tblW w:w="5000" w:type="pct"/>
        <w:jc w:val="center"/>
        <w:tblLook w:val="04A0" w:firstRow="1" w:lastRow="0" w:firstColumn="1" w:lastColumn="0" w:noHBand="0" w:noVBand="1"/>
      </w:tblPr>
      <w:tblGrid>
        <w:gridCol w:w="1175"/>
        <w:gridCol w:w="1183"/>
        <w:gridCol w:w="3302"/>
        <w:gridCol w:w="3402"/>
      </w:tblGrid>
      <w:tr w:rsidR="00E93A65" w:rsidRPr="0001261E" w14:paraId="468211E0" w14:textId="77777777" w:rsidTr="004A246D">
        <w:trPr>
          <w:trHeight w:val="300"/>
          <w:jc w:val="center"/>
        </w:trPr>
        <w:tc>
          <w:tcPr>
            <w:tcW w:w="648" w:type="pct"/>
            <w:noWrap/>
            <w:vAlign w:val="center"/>
            <w:hideMark/>
          </w:tcPr>
          <w:p w14:paraId="76FC9BA0"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lastRenderedPageBreak/>
              <w:t>Année</w:t>
            </w:r>
          </w:p>
        </w:tc>
        <w:tc>
          <w:tcPr>
            <w:tcW w:w="653" w:type="pct"/>
            <w:noWrap/>
            <w:vAlign w:val="center"/>
            <w:hideMark/>
          </w:tcPr>
          <w:p w14:paraId="53EB4AC0"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Semestre</w:t>
            </w:r>
          </w:p>
        </w:tc>
        <w:tc>
          <w:tcPr>
            <w:tcW w:w="1822" w:type="pct"/>
            <w:noWrap/>
            <w:vAlign w:val="center"/>
            <w:hideMark/>
          </w:tcPr>
          <w:p w14:paraId="049F8AE2"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Nombre de semestre de retard</w:t>
            </w:r>
          </w:p>
        </w:tc>
        <w:tc>
          <w:tcPr>
            <w:tcW w:w="1878" w:type="pct"/>
            <w:noWrap/>
            <w:vAlign w:val="center"/>
            <w:hideMark/>
          </w:tcPr>
          <w:p w14:paraId="779FBF7D"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Effort financier supplémentaire</w:t>
            </w:r>
          </w:p>
        </w:tc>
      </w:tr>
      <w:tr w:rsidR="00E93A65" w:rsidRPr="0001261E" w14:paraId="50BEE17F" w14:textId="77777777" w:rsidTr="004A246D">
        <w:trPr>
          <w:trHeight w:val="300"/>
          <w:jc w:val="center"/>
        </w:trPr>
        <w:tc>
          <w:tcPr>
            <w:tcW w:w="648" w:type="pct"/>
            <w:noWrap/>
            <w:vAlign w:val="center"/>
            <w:hideMark/>
          </w:tcPr>
          <w:p w14:paraId="06F494C5"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2019</w:t>
            </w:r>
          </w:p>
        </w:tc>
        <w:tc>
          <w:tcPr>
            <w:tcW w:w="653" w:type="pct"/>
            <w:noWrap/>
            <w:vAlign w:val="center"/>
            <w:hideMark/>
          </w:tcPr>
          <w:p w14:paraId="6FFC0D99"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noWrap/>
            <w:vAlign w:val="center"/>
            <w:hideMark/>
          </w:tcPr>
          <w:p w14:paraId="33A2A417"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p>
        </w:tc>
        <w:tc>
          <w:tcPr>
            <w:tcW w:w="1878" w:type="pct"/>
            <w:noWrap/>
            <w:vAlign w:val="center"/>
            <w:hideMark/>
          </w:tcPr>
          <w:p w14:paraId="017DC36D"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122 500 000,00 €</w:t>
            </w:r>
          </w:p>
        </w:tc>
      </w:tr>
      <w:tr w:rsidR="00E93A65" w:rsidRPr="0001261E" w14:paraId="42BC40D7" w14:textId="77777777" w:rsidTr="004A246D">
        <w:trPr>
          <w:trHeight w:val="300"/>
          <w:jc w:val="center"/>
        </w:trPr>
        <w:tc>
          <w:tcPr>
            <w:tcW w:w="648" w:type="pct"/>
            <w:noWrap/>
            <w:vAlign w:val="center"/>
            <w:hideMark/>
          </w:tcPr>
          <w:p w14:paraId="45DDA81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2019</w:t>
            </w:r>
          </w:p>
        </w:tc>
        <w:tc>
          <w:tcPr>
            <w:tcW w:w="653" w:type="pct"/>
            <w:noWrap/>
            <w:vAlign w:val="center"/>
            <w:hideMark/>
          </w:tcPr>
          <w:p w14:paraId="63876A2D"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noWrap/>
            <w:vAlign w:val="center"/>
            <w:hideMark/>
          </w:tcPr>
          <w:p w14:paraId="5D013409"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p>
        </w:tc>
        <w:tc>
          <w:tcPr>
            <w:tcW w:w="1878" w:type="pct"/>
            <w:noWrap/>
            <w:vAlign w:val="center"/>
            <w:hideMark/>
          </w:tcPr>
          <w:p w14:paraId="1236287F"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245 000 000,00 €</w:t>
            </w:r>
          </w:p>
        </w:tc>
      </w:tr>
      <w:tr w:rsidR="00E93A65" w:rsidRPr="0001261E" w14:paraId="423C2DD0" w14:textId="77777777" w:rsidTr="004A246D">
        <w:trPr>
          <w:trHeight w:val="300"/>
          <w:jc w:val="center"/>
        </w:trPr>
        <w:tc>
          <w:tcPr>
            <w:tcW w:w="648" w:type="pct"/>
            <w:shd w:val="clear" w:color="auto" w:fill="F2F2F2" w:themeFill="background1" w:themeFillShade="F2"/>
            <w:noWrap/>
            <w:vAlign w:val="center"/>
            <w:hideMark/>
          </w:tcPr>
          <w:p w14:paraId="4B10547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2020</w:t>
            </w:r>
          </w:p>
        </w:tc>
        <w:tc>
          <w:tcPr>
            <w:tcW w:w="653" w:type="pct"/>
            <w:shd w:val="clear" w:color="auto" w:fill="F2F2F2" w:themeFill="background1" w:themeFillShade="F2"/>
            <w:noWrap/>
            <w:vAlign w:val="center"/>
            <w:hideMark/>
          </w:tcPr>
          <w:p w14:paraId="4C863E30"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shd w:val="clear" w:color="auto" w:fill="F2F2F2" w:themeFill="background1" w:themeFillShade="F2"/>
            <w:noWrap/>
            <w:vAlign w:val="center"/>
            <w:hideMark/>
          </w:tcPr>
          <w:p w14:paraId="550C9E2A"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3</w:t>
            </w:r>
          </w:p>
        </w:tc>
        <w:tc>
          <w:tcPr>
            <w:tcW w:w="1878" w:type="pct"/>
            <w:shd w:val="clear" w:color="auto" w:fill="F2F2F2" w:themeFill="background1" w:themeFillShade="F2"/>
            <w:noWrap/>
            <w:vAlign w:val="center"/>
            <w:hideMark/>
          </w:tcPr>
          <w:p w14:paraId="601C8C38"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367 500 000,00 €</w:t>
            </w:r>
          </w:p>
        </w:tc>
      </w:tr>
      <w:tr w:rsidR="00E93A65" w:rsidRPr="0001261E" w14:paraId="25D53001" w14:textId="77777777" w:rsidTr="004A246D">
        <w:trPr>
          <w:trHeight w:val="300"/>
          <w:jc w:val="center"/>
        </w:trPr>
        <w:tc>
          <w:tcPr>
            <w:tcW w:w="648" w:type="pct"/>
            <w:shd w:val="clear" w:color="auto" w:fill="F2F2F2" w:themeFill="background1" w:themeFillShade="F2"/>
            <w:noWrap/>
            <w:vAlign w:val="center"/>
            <w:hideMark/>
          </w:tcPr>
          <w:p w14:paraId="19B66CD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2020</w:t>
            </w:r>
          </w:p>
        </w:tc>
        <w:tc>
          <w:tcPr>
            <w:tcW w:w="653" w:type="pct"/>
            <w:shd w:val="clear" w:color="auto" w:fill="F2F2F2" w:themeFill="background1" w:themeFillShade="F2"/>
            <w:noWrap/>
            <w:vAlign w:val="center"/>
            <w:hideMark/>
          </w:tcPr>
          <w:p w14:paraId="067B2E22"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shd w:val="clear" w:color="auto" w:fill="F2F2F2" w:themeFill="background1" w:themeFillShade="F2"/>
            <w:noWrap/>
            <w:vAlign w:val="center"/>
            <w:hideMark/>
          </w:tcPr>
          <w:p w14:paraId="3EA58BA5"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4</w:t>
            </w:r>
          </w:p>
        </w:tc>
        <w:tc>
          <w:tcPr>
            <w:tcW w:w="1878" w:type="pct"/>
            <w:shd w:val="clear" w:color="auto" w:fill="F2F2F2" w:themeFill="background1" w:themeFillShade="F2"/>
            <w:noWrap/>
            <w:vAlign w:val="center"/>
            <w:hideMark/>
          </w:tcPr>
          <w:p w14:paraId="6FEB02B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490 000 000,00 €</w:t>
            </w:r>
          </w:p>
        </w:tc>
      </w:tr>
      <w:tr w:rsidR="00E93A65" w:rsidRPr="0001261E" w14:paraId="34269081" w14:textId="77777777" w:rsidTr="004A246D">
        <w:trPr>
          <w:trHeight w:val="300"/>
          <w:jc w:val="center"/>
        </w:trPr>
        <w:tc>
          <w:tcPr>
            <w:tcW w:w="648" w:type="pct"/>
            <w:noWrap/>
            <w:vAlign w:val="center"/>
            <w:hideMark/>
          </w:tcPr>
          <w:p w14:paraId="7E9F6F4D"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2021</w:t>
            </w:r>
          </w:p>
        </w:tc>
        <w:tc>
          <w:tcPr>
            <w:tcW w:w="653" w:type="pct"/>
            <w:noWrap/>
            <w:vAlign w:val="center"/>
            <w:hideMark/>
          </w:tcPr>
          <w:p w14:paraId="457DCE1D"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noWrap/>
            <w:vAlign w:val="center"/>
            <w:hideMark/>
          </w:tcPr>
          <w:p w14:paraId="0659132B"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5</w:t>
            </w:r>
          </w:p>
        </w:tc>
        <w:tc>
          <w:tcPr>
            <w:tcW w:w="1878" w:type="pct"/>
            <w:noWrap/>
            <w:vAlign w:val="center"/>
            <w:hideMark/>
          </w:tcPr>
          <w:p w14:paraId="224109ED"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612 500 000,00 €</w:t>
            </w:r>
          </w:p>
        </w:tc>
      </w:tr>
      <w:tr w:rsidR="00E93A65" w:rsidRPr="0001261E" w14:paraId="21A4C236" w14:textId="77777777" w:rsidTr="004A246D">
        <w:trPr>
          <w:trHeight w:val="300"/>
          <w:jc w:val="center"/>
        </w:trPr>
        <w:tc>
          <w:tcPr>
            <w:tcW w:w="648" w:type="pct"/>
            <w:noWrap/>
            <w:vAlign w:val="center"/>
            <w:hideMark/>
          </w:tcPr>
          <w:p w14:paraId="468282AC"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2021</w:t>
            </w:r>
          </w:p>
        </w:tc>
        <w:tc>
          <w:tcPr>
            <w:tcW w:w="653" w:type="pct"/>
            <w:noWrap/>
            <w:vAlign w:val="center"/>
            <w:hideMark/>
          </w:tcPr>
          <w:p w14:paraId="17DBEA3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noWrap/>
            <w:vAlign w:val="center"/>
            <w:hideMark/>
          </w:tcPr>
          <w:p w14:paraId="6AB4D868"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6</w:t>
            </w:r>
          </w:p>
        </w:tc>
        <w:tc>
          <w:tcPr>
            <w:tcW w:w="1878" w:type="pct"/>
            <w:noWrap/>
            <w:vAlign w:val="center"/>
            <w:hideMark/>
          </w:tcPr>
          <w:p w14:paraId="36DEEFDD"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735 000 000,00 €</w:t>
            </w:r>
          </w:p>
        </w:tc>
      </w:tr>
      <w:tr w:rsidR="00E93A65" w:rsidRPr="0001261E" w14:paraId="104E67C4" w14:textId="77777777" w:rsidTr="004A246D">
        <w:trPr>
          <w:trHeight w:val="300"/>
          <w:jc w:val="center"/>
        </w:trPr>
        <w:tc>
          <w:tcPr>
            <w:tcW w:w="648" w:type="pct"/>
            <w:shd w:val="clear" w:color="auto" w:fill="F2F2F2" w:themeFill="background1" w:themeFillShade="F2"/>
            <w:noWrap/>
            <w:vAlign w:val="center"/>
            <w:hideMark/>
          </w:tcPr>
          <w:p w14:paraId="48BB4BB0"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2022</w:t>
            </w:r>
          </w:p>
        </w:tc>
        <w:tc>
          <w:tcPr>
            <w:tcW w:w="653" w:type="pct"/>
            <w:shd w:val="clear" w:color="auto" w:fill="F2F2F2" w:themeFill="background1" w:themeFillShade="F2"/>
            <w:noWrap/>
            <w:vAlign w:val="center"/>
            <w:hideMark/>
          </w:tcPr>
          <w:p w14:paraId="54537002"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shd w:val="clear" w:color="auto" w:fill="F2F2F2" w:themeFill="background1" w:themeFillShade="F2"/>
            <w:noWrap/>
            <w:vAlign w:val="center"/>
            <w:hideMark/>
          </w:tcPr>
          <w:p w14:paraId="1FFCEB19"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7</w:t>
            </w:r>
          </w:p>
        </w:tc>
        <w:tc>
          <w:tcPr>
            <w:tcW w:w="1878" w:type="pct"/>
            <w:shd w:val="clear" w:color="auto" w:fill="F2F2F2" w:themeFill="background1" w:themeFillShade="F2"/>
            <w:noWrap/>
            <w:vAlign w:val="center"/>
            <w:hideMark/>
          </w:tcPr>
          <w:p w14:paraId="44D3E6EA"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857 500 000,00 €</w:t>
            </w:r>
          </w:p>
        </w:tc>
      </w:tr>
      <w:tr w:rsidR="00E93A65" w:rsidRPr="0001261E" w14:paraId="582B9B3B" w14:textId="77777777" w:rsidTr="004A246D">
        <w:trPr>
          <w:trHeight w:val="300"/>
          <w:jc w:val="center"/>
        </w:trPr>
        <w:tc>
          <w:tcPr>
            <w:tcW w:w="648" w:type="pct"/>
            <w:shd w:val="clear" w:color="auto" w:fill="F2F2F2" w:themeFill="background1" w:themeFillShade="F2"/>
            <w:noWrap/>
            <w:vAlign w:val="center"/>
            <w:hideMark/>
          </w:tcPr>
          <w:p w14:paraId="2AEF8BF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2022</w:t>
            </w:r>
          </w:p>
        </w:tc>
        <w:tc>
          <w:tcPr>
            <w:tcW w:w="653" w:type="pct"/>
            <w:shd w:val="clear" w:color="auto" w:fill="F2F2F2" w:themeFill="background1" w:themeFillShade="F2"/>
            <w:noWrap/>
            <w:vAlign w:val="center"/>
            <w:hideMark/>
          </w:tcPr>
          <w:p w14:paraId="42DA552F"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shd w:val="clear" w:color="auto" w:fill="F2F2F2" w:themeFill="background1" w:themeFillShade="F2"/>
            <w:noWrap/>
            <w:vAlign w:val="center"/>
            <w:hideMark/>
          </w:tcPr>
          <w:p w14:paraId="4D02B19B"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8</w:t>
            </w:r>
          </w:p>
        </w:tc>
        <w:tc>
          <w:tcPr>
            <w:tcW w:w="1878" w:type="pct"/>
            <w:shd w:val="clear" w:color="auto" w:fill="F2F2F2" w:themeFill="background1" w:themeFillShade="F2"/>
            <w:noWrap/>
            <w:vAlign w:val="center"/>
            <w:hideMark/>
          </w:tcPr>
          <w:p w14:paraId="7B6476B9"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980 000 000,00 €</w:t>
            </w:r>
          </w:p>
        </w:tc>
      </w:tr>
      <w:tr w:rsidR="00E93A65" w:rsidRPr="0001261E" w14:paraId="0CE7402E" w14:textId="77777777" w:rsidTr="004A246D">
        <w:trPr>
          <w:trHeight w:val="300"/>
          <w:jc w:val="center"/>
        </w:trPr>
        <w:tc>
          <w:tcPr>
            <w:tcW w:w="648" w:type="pct"/>
            <w:noWrap/>
            <w:vAlign w:val="center"/>
            <w:hideMark/>
          </w:tcPr>
          <w:p w14:paraId="1BEF0260"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2023</w:t>
            </w:r>
          </w:p>
        </w:tc>
        <w:tc>
          <w:tcPr>
            <w:tcW w:w="653" w:type="pct"/>
            <w:noWrap/>
            <w:vAlign w:val="center"/>
            <w:hideMark/>
          </w:tcPr>
          <w:p w14:paraId="3B3ACB7B"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1</w:t>
            </w:r>
            <w:r w:rsidRPr="0001261E">
              <w:rPr>
                <w:rFonts w:ascii="Garamond" w:eastAsia="Times New Roman" w:hAnsi="Garamond" w:cs="Calibri"/>
                <w:b/>
                <w:bCs/>
                <w:color w:val="000000"/>
                <w:kern w:val="0"/>
                <w:vertAlign w:val="superscript"/>
                <w:lang w:eastAsia="fr-FR"/>
                <w14:ligatures w14:val="none"/>
              </w:rPr>
              <w:t>er</w:t>
            </w:r>
          </w:p>
        </w:tc>
        <w:tc>
          <w:tcPr>
            <w:tcW w:w="1822" w:type="pct"/>
            <w:noWrap/>
            <w:vAlign w:val="center"/>
            <w:hideMark/>
          </w:tcPr>
          <w:p w14:paraId="599D06C6"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9</w:t>
            </w:r>
          </w:p>
        </w:tc>
        <w:tc>
          <w:tcPr>
            <w:tcW w:w="1878" w:type="pct"/>
            <w:noWrap/>
            <w:vAlign w:val="center"/>
            <w:hideMark/>
          </w:tcPr>
          <w:p w14:paraId="7819B2A4" w14:textId="77777777" w:rsidR="00E93A65" w:rsidRPr="0001261E" w:rsidRDefault="00E93A65" w:rsidP="002D37B9">
            <w:pPr>
              <w:jc w:val="center"/>
              <w:rPr>
                <w:rFonts w:ascii="Garamond" w:eastAsia="Times New Roman" w:hAnsi="Garamond" w:cs="Calibri"/>
                <w:b/>
                <w:bCs/>
                <w:color w:val="000000"/>
                <w:kern w:val="0"/>
                <w:lang w:eastAsia="fr-FR"/>
                <w14:ligatures w14:val="none"/>
              </w:rPr>
            </w:pPr>
            <w:r w:rsidRPr="0001261E">
              <w:rPr>
                <w:rFonts w:ascii="Garamond" w:eastAsia="Times New Roman" w:hAnsi="Garamond" w:cs="Calibri"/>
                <w:b/>
                <w:bCs/>
                <w:color w:val="000000"/>
                <w:kern w:val="0"/>
                <w:lang w:eastAsia="fr-FR"/>
                <w14:ligatures w14:val="none"/>
              </w:rPr>
              <w:t>1 102 500 000,00 €</w:t>
            </w:r>
          </w:p>
        </w:tc>
      </w:tr>
      <w:tr w:rsidR="00E93A65" w:rsidRPr="0001261E" w14:paraId="7A2B1B67" w14:textId="77777777" w:rsidTr="004A246D">
        <w:trPr>
          <w:trHeight w:val="300"/>
          <w:jc w:val="center"/>
        </w:trPr>
        <w:tc>
          <w:tcPr>
            <w:tcW w:w="648" w:type="pct"/>
            <w:noWrap/>
            <w:vAlign w:val="center"/>
            <w:hideMark/>
          </w:tcPr>
          <w:p w14:paraId="1E95EF44"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2023</w:t>
            </w:r>
          </w:p>
        </w:tc>
        <w:tc>
          <w:tcPr>
            <w:tcW w:w="653" w:type="pct"/>
            <w:noWrap/>
            <w:vAlign w:val="center"/>
            <w:hideMark/>
          </w:tcPr>
          <w:p w14:paraId="7908D34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noWrap/>
            <w:vAlign w:val="center"/>
            <w:hideMark/>
          </w:tcPr>
          <w:p w14:paraId="629E20E2"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10</w:t>
            </w:r>
          </w:p>
        </w:tc>
        <w:tc>
          <w:tcPr>
            <w:tcW w:w="1878" w:type="pct"/>
            <w:noWrap/>
            <w:vAlign w:val="center"/>
            <w:hideMark/>
          </w:tcPr>
          <w:p w14:paraId="67607310"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1 225 000 000,00 €</w:t>
            </w:r>
          </w:p>
        </w:tc>
      </w:tr>
      <w:tr w:rsidR="00E93A65" w:rsidRPr="0001261E" w14:paraId="568876E5" w14:textId="77777777" w:rsidTr="004A246D">
        <w:trPr>
          <w:trHeight w:val="300"/>
          <w:jc w:val="center"/>
        </w:trPr>
        <w:tc>
          <w:tcPr>
            <w:tcW w:w="648" w:type="pct"/>
            <w:shd w:val="clear" w:color="auto" w:fill="F2F2F2" w:themeFill="background1" w:themeFillShade="F2"/>
            <w:noWrap/>
            <w:vAlign w:val="center"/>
            <w:hideMark/>
          </w:tcPr>
          <w:p w14:paraId="62C74284"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2024</w:t>
            </w:r>
          </w:p>
        </w:tc>
        <w:tc>
          <w:tcPr>
            <w:tcW w:w="653" w:type="pct"/>
            <w:shd w:val="clear" w:color="auto" w:fill="F2F2F2" w:themeFill="background1" w:themeFillShade="F2"/>
            <w:noWrap/>
            <w:vAlign w:val="center"/>
            <w:hideMark/>
          </w:tcPr>
          <w:p w14:paraId="114FA4C9"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shd w:val="clear" w:color="auto" w:fill="F2F2F2" w:themeFill="background1" w:themeFillShade="F2"/>
            <w:noWrap/>
            <w:vAlign w:val="center"/>
            <w:hideMark/>
          </w:tcPr>
          <w:p w14:paraId="37717CE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11</w:t>
            </w:r>
          </w:p>
        </w:tc>
        <w:tc>
          <w:tcPr>
            <w:tcW w:w="1878" w:type="pct"/>
            <w:shd w:val="clear" w:color="auto" w:fill="F2F2F2" w:themeFill="background1" w:themeFillShade="F2"/>
            <w:noWrap/>
            <w:vAlign w:val="center"/>
            <w:hideMark/>
          </w:tcPr>
          <w:p w14:paraId="17D16125"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1 347 500 000,00 €</w:t>
            </w:r>
          </w:p>
        </w:tc>
      </w:tr>
      <w:tr w:rsidR="00E93A65" w:rsidRPr="0001261E" w14:paraId="26ADBED5" w14:textId="77777777" w:rsidTr="004A246D">
        <w:trPr>
          <w:trHeight w:val="300"/>
          <w:jc w:val="center"/>
        </w:trPr>
        <w:tc>
          <w:tcPr>
            <w:tcW w:w="648" w:type="pct"/>
            <w:shd w:val="clear" w:color="auto" w:fill="F2F2F2" w:themeFill="background1" w:themeFillShade="F2"/>
            <w:noWrap/>
            <w:vAlign w:val="center"/>
            <w:hideMark/>
          </w:tcPr>
          <w:p w14:paraId="4C4620B5"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2024</w:t>
            </w:r>
          </w:p>
        </w:tc>
        <w:tc>
          <w:tcPr>
            <w:tcW w:w="653" w:type="pct"/>
            <w:shd w:val="clear" w:color="auto" w:fill="F2F2F2" w:themeFill="background1" w:themeFillShade="F2"/>
            <w:noWrap/>
            <w:vAlign w:val="center"/>
            <w:hideMark/>
          </w:tcPr>
          <w:p w14:paraId="3961A0B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shd w:val="clear" w:color="auto" w:fill="F2F2F2" w:themeFill="background1" w:themeFillShade="F2"/>
            <w:noWrap/>
            <w:vAlign w:val="center"/>
            <w:hideMark/>
          </w:tcPr>
          <w:p w14:paraId="715F419A"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12</w:t>
            </w:r>
          </w:p>
        </w:tc>
        <w:tc>
          <w:tcPr>
            <w:tcW w:w="1878" w:type="pct"/>
            <w:shd w:val="clear" w:color="auto" w:fill="F2F2F2" w:themeFill="background1" w:themeFillShade="F2"/>
            <w:noWrap/>
            <w:vAlign w:val="center"/>
            <w:hideMark/>
          </w:tcPr>
          <w:p w14:paraId="6E64A8D4"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1 470 000 000,00 €</w:t>
            </w:r>
          </w:p>
        </w:tc>
      </w:tr>
      <w:tr w:rsidR="00E93A65" w:rsidRPr="0001261E" w14:paraId="19838EF7" w14:textId="77777777" w:rsidTr="004A246D">
        <w:trPr>
          <w:trHeight w:val="300"/>
          <w:jc w:val="center"/>
        </w:trPr>
        <w:tc>
          <w:tcPr>
            <w:tcW w:w="648" w:type="pct"/>
            <w:noWrap/>
            <w:vAlign w:val="center"/>
            <w:hideMark/>
          </w:tcPr>
          <w:p w14:paraId="727EC7EB"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2025</w:t>
            </w:r>
          </w:p>
        </w:tc>
        <w:tc>
          <w:tcPr>
            <w:tcW w:w="653" w:type="pct"/>
            <w:noWrap/>
            <w:vAlign w:val="center"/>
            <w:hideMark/>
          </w:tcPr>
          <w:p w14:paraId="04C87AB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noWrap/>
            <w:vAlign w:val="center"/>
            <w:hideMark/>
          </w:tcPr>
          <w:p w14:paraId="1A1840C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13</w:t>
            </w:r>
          </w:p>
        </w:tc>
        <w:tc>
          <w:tcPr>
            <w:tcW w:w="1878" w:type="pct"/>
            <w:noWrap/>
            <w:vAlign w:val="center"/>
            <w:hideMark/>
          </w:tcPr>
          <w:p w14:paraId="2F7AEA84"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1 592 500 000,00 €</w:t>
            </w:r>
          </w:p>
        </w:tc>
      </w:tr>
      <w:tr w:rsidR="00E93A65" w:rsidRPr="0001261E" w14:paraId="6876C3B0" w14:textId="77777777" w:rsidTr="004A246D">
        <w:trPr>
          <w:trHeight w:val="300"/>
          <w:jc w:val="center"/>
        </w:trPr>
        <w:tc>
          <w:tcPr>
            <w:tcW w:w="648" w:type="pct"/>
            <w:noWrap/>
            <w:vAlign w:val="center"/>
            <w:hideMark/>
          </w:tcPr>
          <w:p w14:paraId="6710585E"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2025</w:t>
            </w:r>
          </w:p>
        </w:tc>
        <w:tc>
          <w:tcPr>
            <w:tcW w:w="653" w:type="pct"/>
            <w:noWrap/>
            <w:vAlign w:val="center"/>
            <w:hideMark/>
          </w:tcPr>
          <w:p w14:paraId="791B08A7"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noWrap/>
            <w:vAlign w:val="center"/>
            <w:hideMark/>
          </w:tcPr>
          <w:p w14:paraId="1D27EE33"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14</w:t>
            </w:r>
          </w:p>
        </w:tc>
        <w:tc>
          <w:tcPr>
            <w:tcW w:w="1878" w:type="pct"/>
            <w:noWrap/>
            <w:vAlign w:val="center"/>
            <w:hideMark/>
          </w:tcPr>
          <w:p w14:paraId="1FE9D400"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1 715 000 000,00 €</w:t>
            </w:r>
          </w:p>
        </w:tc>
      </w:tr>
      <w:tr w:rsidR="00E93A65" w:rsidRPr="0001261E" w14:paraId="0A0CE293" w14:textId="77777777" w:rsidTr="004A246D">
        <w:trPr>
          <w:trHeight w:val="300"/>
          <w:jc w:val="center"/>
        </w:trPr>
        <w:tc>
          <w:tcPr>
            <w:tcW w:w="648" w:type="pct"/>
            <w:shd w:val="clear" w:color="auto" w:fill="F2F2F2" w:themeFill="background1" w:themeFillShade="F2"/>
            <w:noWrap/>
            <w:vAlign w:val="center"/>
            <w:hideMark/>
          </w:tcPr>
          <w:p w14:paraId="2F3E1FEA"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2026</w:t>
            </w:r>
          </w:p>
        </w:tc>
        <w:tc>
          <w:tcPr>
            <w:tcW w:w="653" w:type="pct"/>
            <w:shd w:val="clear" w:color="auto" w:fill="F2F2F2" w:themeFill="background1" w:themeFillShade="F2"/>
            <w:noWrap/>
            <w:vAlign w:val="center"/>
            <w:hideMark/>
          </w:tcPr>
          <w:p w14:paraId="7D5B19D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w:t>
            </w:r>
            <w:r w:rsidRPr="0001261E">
              <w:rPr>
                <w:rFonts w:ascii="Garamond" w:eastAsia="Times New Roman" w:hAnsi="Garamond" w:cs="Calibri"/>
                <w:color w:val="000000"/>
                <w:kern w:val="0"/>
                <w:vertAlign w:val="superscript"/>
                <w:lang w:eastAsia="fr-FR"/>
                <w14:ligatures w14:val="none"/>
              </w:rPr>
              <w:t>er</w:t>
            </w:r>
          </w:p>
        </w:tc>
        <w:tc>
          <w:tcPr>
            <w:tcW w:w="1822" w:type="pct"/>
            <w:shd w:val="clear" w:color="auto" w:fill="F2F2F2" w:themeFill="background1" w:themeFillShade="F2"/>
            <w:noWrap/>
            <w:vAlign w:val="center"/>
            <w:hideMark/>
          </w:tcPr>
          <w:p w14:paraId="2AFB3209"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15</w:t>
            </w:r>
          </w:p>
        </w:tc>
        <w:tc>
          <w:tcPr>
            <w:tcW w:w="1878" w:type="pct"/>
            <w:shd w:val="clear" w:color="auto" w:fill="F2F2F2" w:themeFill="background1" w:themeFillShade="F2"/>
            <w:noWrap/>
            <w:vAlign w:val="center"/>
            <w:hideMark/>
          </w:tcPr>
          <w:p w14:paraId="01BB5086"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1 837 500 000,00 €</w:t>
            </w:r>
          </w:p>
        </w:tc>
      </w:tr>
      <w:tr w:rsidR="00E93A65" w:rsidRPr="0001261E" w14:paraId="2E973775" w14:textId="77777777" w:rsidTr="004A246D">
        <w:trPr>
          <w:trHeight w:val="300"/>
          <w:jc w:val="center"/>
        </w:trPr>
        <w:tc>
          <w:tcPr>
            <w:tcW w:w="648" w:type="pct"/>
            <w:shd w:val="clear" w:color="auto" w:fill="F2F2F2" w:themeFill="background1" w:themeFillShade="F2"/>
            <w:noWrap/>
            <w:vAlign w:val="center"/>
            <w:hideMark/>
          </w:tcPr>
          <w:p w14:paraId="2B5CD63B"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2026</w:t>
            </w:r>
          </w:p>
        </w:tc>
        <w:tc>
          <w:tcPr>
            <w:tcW w:w="653" w:type="pct"/>
            <w:shd w:val="clear" w:color="auto" w:fill="F2F2F2" w:themeFill="background1" w:themeFillShade="F2"/>
            <w:noWrap/>
            <w:vAlign w:val="center"/>
            <w:hideMark/>
          </w:tcPr>
          <w:p w14:paraId="23936214"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2</w:t>
            </w:r>
            <w:r w:rsidRPr="0001261E">
              <w:rPr>
                <w:rFonts w:ascii="Garamond" w:eastAsia="Times New Roman" w:hAnsi="Garamond" w:cs="Calibri"/>
                <w:color w:val="000000"/>
                <w:kern w:val="0"/>
                <w:vertAlign w:val="superscript"/>
                <w:lang w:eastAsia="fr-FR"/>
                <w14:ligatures w14:val="none"/>
              </w:rPr>
              <w:t>d</w:t>
            </w:r>
          </w:p>
        </w:tc>
        <w:tc>
          <w:tcPr>
            <w:tcW w:w="1822" w:type="pct"/>
            <w:shd w:val="clear" w:color="auto" w:fill="F2F2F2" w:themeFill="background1" w:themeFillShade="F2"/>
            <w:noWrap/>
            <w:vAlign w:val="center"/>
            <w:hideMark/>
          </w:tcPr>
          <w:p w14:paraId="68265CE3"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16</w:t>
            </w:r>
          </w:p>
        </w:tc>
        <w:tc>
          <w:tcPr>
            <w:tcW w:w="1878" w:type="pct"/>
            <w:shd w:val="clear" w:color="auto" w:fill="F2F2F2" w:themeFill="background1" w:themeFillShade="F2"/>
            <w:noWrap/>
            <w:vAlign w:val="center"/>
            <w:hideMark/>
          </w:tcPr>
          <w:p w14:paraId="22C65AD4" w14:textId="77777777" w:rsidR="00E93A65" w:rsidRPr="0001261E" w:rsidRDefault="00E93A65" w:rsidP="002D37B9">
            <w:pPr>
              <w:jc w:val="center"/>
              <w:rPr>
                <w:rFonts w:ascii="Garamond" w:eastAsia="Times New Roman" w:hAnsi="Garamond" w:cs="Calibri"/>
                <w:color w:val="000000"/>
                <w:kern w:val="0"/>
                <w:lang w:eastAsia="fr-FR"/>
                <w14:ligatures w14:val="none"/>
              </w:rPr>
            </w:pPr>
            <w:r w:rsidRPr="0001261E">
              <w:rPr>
                <w:rFonts w:ascii="Garamond" w:eastAsia="Times New Roman" w:hAnsi="Garamond" w:cs="Calibri"/>
                <w:color w:val="000000"/>
                <w:kern w:val="0"/>
                <w:lang w:eastAsia="fr-FR"/>
                <w14:ligatures w14:val="none"/>
              </w:rPr>
              <w:t>1 960 000 000,00 €</w:t>
            </w:r>
          </w:p>
        </w:tc>
      </w:tr>
    </w:tbl>
    <w:p w14:paraId="352CCFF1" w14:textId="77777777" w:rsidR="004A246D" w:rsidRPr="00F52A38" w:rsidRDefault="004A246D" w:rsidP="004A246D">
      <w:pPr>
        <w:spacing w:line="252" w:lineRule="auto"/>
        <w:jc w:val="both"/>
        <w:rPr>
          <w:rFonts w:ascii="Garamond" w:hAnsi="Garamond"/>
          <w:color w:val="000000" w:themeColor="text1"/>
        </w:rPr>
      </w:pPr>
    </w:p>
    <w:p w14:paraId="13322FCA" w14:textId="77777777" w:rsidR="004A246D" w:rsidRPr="00F52A38" w:rsidRDefault="004A246D" w:rsidP="004A246D">
      <w:pPr>
        <w:numPr>
          <w:ilvl w:val="0"/>
          <w:numId w:val="1"/>
        </w:numPr>
        <w:spacing w:line="252" w:lineRule="auto"/>
        <w:ind w:left="0" w:firstLine="0"/>
        <w:jc w:val="both"/>
        <w:rPr>
          <w:rFonts w:ascii="Garamond" w:hAnsi="Garamond"/>
          <w:color w:val="000000" w:themeColor="text1"/>
        </w:rPr>
      </w:pPr>
    </w:p>
    <w:p w14:paraId="7A373F12" w14:textId="77777777" w:rsidR="00E93A65" w:rsidRDefault="00E93A65" w:rsidP="00E93A65">
      <w:pPr>
        <w:autoSpaceDE w:val="0"/>
        <w:autoSpaceDN w:val="0"/>
        <w:adjustRightInd w:val="0"/>
        <w:spacing w:line="276" w:lineRule="auto"/>
        <w:rPr>
          <w:rFonts w:ascii="Garamond" w:hAnsi="Garamond"/>
        </w:rPr>
      </w:pPr>
    </w:p>
    <w:p w14:paraId="5BAF2F06" w14:textId="50F3A616" w:rsidR="0001261E" w:rsidRPr="0001261E" w:rsidRDefault="0001261E" w:rsidP="0001261E">
      <w:pPr>
        <w:spacing w:line="252" w:lineRule="auto"/>
        <w:jc w:val="both"/>
        <w:rPr>
          <w:rFonts w:ascii="Garamond" w:hAnsi="Garamond"/>
          <w:color w:val="000000" w:themeColor="text1"/>
        </w:rPr>
      </w:pPr>
      <w:r w:rsidRPr="0001261E">
        <w:rPr>
          <w:rFonts w:ascii="Garamond" w:hAnsi="Garamond"/>
          <w:color w:val="000000" w:themeColor="text1"/>
        </w:rPr>
        <w:t>Dans ces conditions,</w:t>
      </w:r>
      <w:r w:rsidR="004A246D">
        <w:rPr>
          <w:rFonts w:ascii="Garamond" w:hAnsi="Garamond"/>
          <w:color w:val="000000" w:themeColor="text1"/>
        </w:rPr>
        <w:t xml:space="preserve"> afin d</w:t>
      </w:r>
      <w:r w:rsidR="00F86CA7">
        <w:rPr>
          <w:rFonts w:ascii="Garamond" w:hAnsi="Garamond"/>
          <w:color w:val="000000" w:themeColor="text1"/>
        </w:rPr>
        <w:t>’</w:t>
      </w:r>
      <w:r w:rsidR="004A246D">
        <w:rPr>
          <w:rFonts w:ascii="Garamond" w:hAnsi="Garamond"/>
          <w:color w:val="000000" w:themeColor="text1"/>
        </w:rPr>
        <w:t>adapter le taux de l</w:t>
      </w:r>
      <w:r w:rsidR="00F86CA7">
        <w:rPr>
          <w:rFonts w:ascii="Garamond" w:hAnsi="Garamond"/>
          <w:color w:val="000000" w:themeColor="text1"/>
        </w:rPr>
        <w:t>’</w:t>
      </w:r>
      <w:r w:rsidR="004A246D">
        <w:rPr>
          <w:rFonts w:ascii="Garamond" w:hAnsi="Garamond"/>
          <w:color w:val="000000" w:themeColor="text1"/>
        </w:rPr>
        <w:t xml:space="preserve">astreinte aux enjeux de la présente affaire, </w:t>
      </w:r>
      <w:r w:rsidRPr="0001261E">
        <w:rPr>
          <w:rFonts w:ascii="Garamond" w:hAnsi="Garamond"/>
          <w:color w:val="000000" w:themeColor="text1"/>
        </w:rPr>
        <w:t>le taux initial de l</w:t>
      </w:r>
      <w:r w:rsidR="00F86CA7">
        <w:rPr>
          <w:rFonts w:ascii="Garamond" w:hAnsi="Garamond"/>
          <w:color w:val="000000" w:themeColor="text1"/>
        </w:rPr>
        <w:t>’</w:t>
      </w:r>
      <w:r w:rsidRPr="0001261E">
        <w:rPr>
          <w:rFonts w:ascii="Garamond" w:hAnsi="Garamond"/>
          <w:color w:val="000000" w:themeColor="text1"/>
        </w:rPr>
        <w:t>astreinte pourra être fixé</w:t>
      </w:r>
      <w:r w:rsidR="004A246D">
        <w:rPr>
          <w:rFonts w:ascii="Garamond" w:hAnsi="Garamond"/>
          <w:color w:val="000000" w:themeColor="text1"/>
        </w:rPr>
        <w:t xml:space="preserve">, </w:t>
      </w:r>
      <w:r w:rsidR="004A246D" w:rsidRPr="0001261E">
        <w:rPr>
          <w:rFonts w:ascii="Garamond" w:hAnsi="Garamond"/>
          <w:color w:val="000000" w:themeColor="text1"/>
          <w:u w:val="single"/>
        </w:rPr>
        <w:t>pour le premier semestre de retard</w:t>
      </w:r>
      <w:r w:rsidR="004A246D" w:rsidRPr="0001261E">
        <w:rPr>
          <w:rFonts w:ascii="Garamond" w:hAnsi="Garamond"/>
          <w:color w:val="000000" w:themeColor="text1"/>
        </w:rPr>
        <w:t xml:space="preserve"> dans l</w:t>
      </w:r>
      <w:r w:rsidR="00F86CA7">
        <w:rPr>
          <w:rFonts w:ascii="Garamond" w:hAnsi="Garamond"/>
          <w:color w:val="000000" w:themeColor="text1"/>
        </w:rPr>
        <w:t>’</w:t>
      </w:r>
      <w:r w:rsidR="004A246D" w:rsidRPr="0001261E">
        <w:rPr>
          <w:rFonts w:ascii="Garamond" w:hAnsi="Garamond"/>
          <w:color w:val="000000" w:themeColor="text1"/>
        </w:rPr>
        <w:t>exécution de la décision à intervenir,</w:t>
      </w:r>
      <w:r w:rsidRPr="0001261E">
        <w:rPr>
          <w:rFonts w:ascii="Garamond" w:hAnsi="Garamond"/>
          <w:color w:val="000000" w:themeColor="text1"/>
        </w:rPr>
        <w:t xml:space="preserve"> à 1 milliard et 102,5 millions d</w:t>
      </w:r>
      <w:r w:rsidR="00F86CA7">
        <w:rPr>
          <w:rFonts w:ascii="Garamond" w:hAnsi="Garamond"/>
          <w:color w:val="000000" w:themeColor="text1"/>
        </w:rPr>
        <w:t>’</w:t>
      </w:r>
      <w:r w:rsidRPr="0001261E">
        <w:rPr>
          <w:rFonts w:ascii="Garamond" w:hAnsi="Garamond"/>
          <w:color w:val="000000" w:themeColor="text1"/>
        </w:rPr>
        <w:t xml:space="preserve">euros </w:t>
      </w:r>
      <w:r w:rsidR="004A246D">
        <w:rPr>
          <w:rFonts w:ascii="Garamond" w:hAnsi="Garamond"/>
          <w:color w:val="000000" w:themeColor="text1"/>
        </w:rPr>
        <w:t xml:space="preserve">– </w:t>
      </w:r>
      <w:r w:rsidRPr="0001261E">
        <w:rPr>
          <w:rFonts w:ascii="Garamond" w:hAnsi="Garamond"/>
          <w:color w:val="000000" w:themeColor="text1"/>
        </w:rPr>
        <w:t>l</w:t>
      </w:r>
      <w:r w:rsidR="00F86CA7">
        <w:rPr>
          <w:rFonts w:ascii="Garamond" w:hAnsi="Garamond"/>
          <w:color w:val="000000" w:themeColor="text1"/>
        </w:rPr>
        <w:t>’</w:t>
      </w:r>
      <w:r w:rsidRPr="0001261E">
        <w:rPr>
          <w:rFonts w:ascii="Garamond" w:hAnsi="Garamond"/>
          <w:color w:val="000000" w:themeColor="text1"/>
        </w:rPr>
        <w:t>évaluation est ici arrêtée au premier semestre de l</w:t>
      </w:r>
      <w:r w:rsidR="00F86CA7">
        <w:rPr>
          <w:rFonts w:ascii="Garamond" w:hAnsi="Garamond"/>
          <w:color w:val="000000" w:themeColor="text1"/>
        </w:rPr>
        <w:t>’</w:t>
      </w:r>
      <w:r w:rsidRPr="0001261E">
        <w:rPr>
          <w:rFonts w:ascii="Garamond" w:hAnsi="Garamond"/>
          <w:color w:val="000000" w:themeColor="text1"/>
        </w:rPr>
        <w:t>année 2023 et devra être adaptée conformément au tableau ci-dessus.</w:t>
      </w:r>
    </w:p>
    <w:p w14:paraId="6AABD57D" w14:textId="77777777" w:rsidR="0001261E" w:rsidRPr="0001261E" w:rsidRDefault="0001261E" w:rsidP="0001261E">
      <w:pPr>
        <w:spacing w:line="252" w:lineRule="auto"/>
        <w:jc w:val="both"/>
        <w:rPr>
          <w:rFonts w:ascii="Garamond" w:hAnsi="Garamond"/>
          <w:color w:val="000000" w:themeColor="text1"/>
        </w:rPr>
      </w:pPr>
    </w:p>
    <w:p w14:paraId="6A167D74" w14:textId="38050F13" w:rsidR="004746BB" w:rsidRDefault="0001261E" w:rsidP="004746BB">
      <w:pPr>
        <w:spacing w:line="252" w:lineRule="auto"/>
        <w:jc w:val="both"/>
        <w:rPr>
          <w:rFonts w:ascii="Garamond" w:hAnsi="Garamond"/>
          <w:color w:val="000000" w:themeColor="text1"/>
        </w:rPr>
      </w:pPr>
      <w:r w:rsidRPr="0001261E">
        <w:rPr>
          <w:rFonts w:ascii="Garamond" w:hAnsi="Garamond"/>
          <w:color w:val="000000" w:themeColor="text1"/>
        </w:rPr>
        <w:t>Un taux d</w:t>
      </w:r>
      <w:r w:rsidR="00F86CA7">
        <w:rPr>
          <w:rFonts w:ascii="Garamond" w:hAnsi="Garamond"/>
          <w:color w:val="000000" w:themeColor="text1"/>
        </w:rPr>
        <w:t>’</w:t>
      </w:r>
      <w:r w:rsidRPr="0001261E">
        <w:rPr>
          <w:rFonts w:ascii="Garamond" w:hAnsi="Garamond"/>
          <w:color w:val="000000" w:themeColor="text1"/>
        </w:rPr>
        <w:t>astreinte complémentaire</w:t>
      </w:r>
      <w:r w:rsidR="004A246D">
        <w:rPr>
          <w:rFonts w:ascii="Garamond" w:hAnsi="Garamond"/>
          <w:color w:val="000000" w:themeColor="text1"/>
        </w:rPr>
        <w:t>,</w:t>
      </w:r>
      <w:r w:rsidRPr="0001261E">
        <w:rPr>
          <w:rFonts w:ascii="Garamond" w:hAnsi="Garamond"/>
          <w:color w:val="000000" w:themeColor="text1"/>
        </w:rPr>
        <w:t xml:space="preserve"> égal à 122,5 millions d</w:t>
      </w:r>
      <w:r w:rsidR="00F86CA7">
        <w:rPr>
          <w:rFonts w:ascii="Garamond" w:hAnsi="Garamond"/>
          <w:color w:val="000000" w:themeColor="text1"/>
        </w:rPr>
        <w:t>’</w:t>
      </w:r>
      <w:r w:rsidRPr="0001261E">
        <w:rPr>
          <w:rFonts w:ascii="Garamond" w:hAnsi="Garamond"/>
          <w:color w:val="000000" w:themeColor="text1"/>
        </w:rPr>
        <w:t>euros</w:t>
      </w:r>
      <w:r w:rsidR="004A246D">
        <w:rPr>
          <w:rFonts w:ascii="Garamond" w:hAnsi="Garamond"/>
          <w:color w:val="000000" w:themeColor="text1"/>
        </w:rPr>
        <w:t>,</w:t>
      </w:r>
      <w:r w:rsidRPr="0001261E">
        <w:rPr>
          <w:rFonts w:ascii="Garamond" w:hAnsi="Garamond"/>
          <w:color w:val="000000" w:themeColor="text1"/>
        </w:rPr>
        <w:t xml:space="preserve"> sera fixé </w:t>
      </w:r>
      <w:r w:rsidRPr="0001261E">
        <w:rPr>
          <w:rFonts w:ascii="Garamond" w:hAnsi="Garamond"/>
          <w:color w:val="000000" w:themeColor="text1"/>
          <w:u w:val="single"/>
        </w:rPr>
        <w:t>pour chaque semestre de retard supplémentaire</w:t>
      </w:r>
      <w:r w:rsidRPr="0001261E">
        <w:rPr>
          <w:rFonts w:ascii="Garamond" w:hAnsi="Garamond"/>
          <w:color w:val="000000" w:themeColor="text1"/>
        </w:rPr>
        <w:t xml:space="preserve"> dans l</w:t>
      </w:r>
      <w:r w:rsidR="00F86CA7">
        <w:rPr>
          <w:rFonts w:ascii="Garamond" w:hAnsi="Garamond"/>
          <w:color w:val="000000" w:themeColor="text1"/>
        </w:rPr>
        <w:t>’</w:t>
      </w:r>
      <w:r w:rsidRPr="0001261E">
        <w:rPr>
          <w:rFonts w:ascii="Garamond" w:hAnsi="Garamond"/>
          <w:color w:val="000000" w:themeColor="text1"/>
        </w:rPr>
        <w:t>exécution de la décision à intervenir, conformément au tableau ci-dessus.</w:t>
      </w:r>
    </w:p>
    <w:p w14:paraId="11626622" w14:textId="77777777" w:rsidR="004746BB" w:rsidRPr="004A246D" w:rsidRDefault="004746BB" w:rsidP="004A246D">
      <w:pPr>
        <w:spacing w:line="252" w:lineRule="auto"/>
        <w:jc w:val="both"/>
        <w:rPr>
          <w:rFonts w:ascii="Garamond" w:hAnsi="Garamond"/>
          <w:color w:val="000000" w:themeColor="text1"/>
        </w:rPr>
      </w:pPr>
    </w:p>
    <w:p w14:paraId="39DB9B5D" w14:textId="408D7EE6" w:rsidR="00797B94" w:rsidRDefault="00797B94">
      <w:pPr>
        <w:rPr>
          <w:rFonts w:ascii="Garamond" w:hAnsi="Garamond"/>
          <w:color w:val="000000" w:themeColor="text1"/>
        </w:rPr>
      </w:pPr>
      <w:r>
        <w:rPr>
          <w:rFonts w:ascii="Garamond" w:hAnsi="Garamond"/>
          <w:color w:val="000000" w:themeColor="text1"/>
        </w:rPr>
        <w:br w:type="page"/>
      </w:r>
    </w:p>
    <w:p w14:paraId="0F4A2110" w14:textId="77777777" w:rsidR="0019386A" w:rsidRPr="00F52A38" w:rsidRDefault="0019386A" w:rsidP="00F52A38">
      <w:pPr>
        <w:numPr>
          <w:ilvl w:val="0"/>
          <w:numId w:val="1"/>
        </w:numPr>
        <w:spacing w:line="252" w:lineRule="auto"/>
        <w:ind w:left="0" w:firstLine="0"/>
        <w:jc w:val="both"/>
        <w:rPr>
          <w:rFonts w:ascii="Garamond" w:hAnsi="Garamond"/>
          <w:color w:val="000000" w:themeColor="text1"/>
        </w:rPr>
      </w:pPr>
    </w:p>
    <w:p w14:paraId="408A6F0A" w14:textId="77777777" w:rsidR="0019386A" w:rsidRPr="00F52A38" w:rsidRDefault="0019386A" w:rsidP="00F52A38">
      <w:pPr>
        <w:spacing w:line="252" w:lineRule="auto"/>
        <w:jc w:val="both"/>
        <w:rPr>
          <w:rFonts w:ascii="Garamond" w:hAnsi="Garamond"/>
          <w:color w:val="000000" w:themeColor="text1"/>
        </w:rPr>
      </w:pPr>
    </w:p>
    <w:p w14:paraId="7AE392C8" w14:textId="5012E280" w:rsidR="00256637" w:rsidRDefault="0019386A" w:rsidP="00F52A38">
      <w:pPr>
        <w:spacing w:line="252" w:lineRule="auto"/>
        <w:jc w:val="both"/>
        <w:rPr>
          <w:rFonts w:ascii="Garamond" w:hAnsi="Garamond"/>
          <w:color w:val="000000" w:themeColor="text1"/>
        </w:rPr>
      </w:pPr>
      <w:r w:rsidRPr="00F52A38">
        <w:rPr>
          <w:rFonts w:ascii="Garamond" w:hAnsi="Garamond"/>
          <w:b/>
          <w:color w:val="000000" w:themeColor="text1"/>
          <w:u w:val="single"/>
        </w:rPr>
        <w:t xml:space="preserve">PAR CES MOTIFS, </w:t>
      </w:r>
      <w:r w:rsidRPr="00F52A38">
        <w:rPr>
          <w:rFonts w:ascii="Garamond" w:hAnsi="Garamond"/>
          <w:color w:val="000000" w:themeColor="text1"/>
        </w:rPr>
        <w:t>et tous autres à produire, déduire ou suppléer, au besoin même d</w:t>
      </w:r>
      <w:r w:rsidR="00F86CA7">
        <w:rPr>
          <w:rFonts w:ascii="Garamond" w:hAnsi="Garamond"/>
          <w:color w:val="000000" w:themeColor="text1"/>
        </w:rPr>
        <w:t>’</w:t>
      </w:r>
      <w:r w:rsidRPr="00F52A38">
        <w:rPr>
          <w:rFonts w:ascii="Garamond" w:hAnsi="Garamond"/>
          <w:color w:val="000000" w:themeColor="text1"/>
        </w:rPr>
        <w:t xml:space="preserve">office, </w:t>
      </w:r>
      <w:r w:rsidR="00256637">
        <w:rPr>
          <w:rFonts w:ascii="Garamond" w:hAnsi="Garamond"/>
          <w:color w:val="000000" w:themeColor="text1"/>
        </w:rPr>
        <w:t>l</w:t>
      </w:r>
      <w:r w:rsidR="00F86CA7">
        <w:rPr>
          <w:rFonts w:ascii="Garamond" w:hAnsi="Garamond"/>
          <w:color w:val="000000" w:themeColor="text1"/>
        </w:rPr>
        <w:t>’</w:t>
      </w:r>
      <w:r w:rsidR="00256637">
        <w:rPr>
          <w:rFonts w:ascii="Garamond" w:hAnsi="Garamond"/>
          <w:color w:val="000000" w:themeColor="text1"/>
        </w:rPr>
        <w:t xml:space="preserve">association </w:t>
      </w:r>
      <w:r w:rsidR="00F86CA7">
        <w:rPr>
          <w:rFonts w:ascii="Garamond" w:hAnsi="Garamond"/>
          <w:color w:val="000000" w:themeColor="text1"/>
        </w:rPr>
        <w:t>[</w:t>
      </w:r>
      <w:r w:rsidR="00F86CA7" w:rsidRPr="00F86CA7">
        <w:rPr>
          <w:rFonts w:ascii="Garamond" w:hAnsi="Garamond"/>
          <w:color w:val="000000" w:themeColor="text1"/>
          <w:highlight w:val="yellow"/>
        </w:rPr>
        <w:t>XXX</w:t>
      </w:r>
      <w:r w:rsidR="00F86CA7">
        <w:rPr>
          <w:rFonts w:ascii="Garamond" w:hAnsi="Garamond"/>
          <w:color w:val="000000" w:themeColor="text1"/>
        </w:rPr>
        <w:t>]</w:t>
      </w:r>
      <w:r w:rsidR="00256637">
        <w:rPr>
          <w:rFonts w:ascii="Garamond" w:hAnsi="Garamond"/>
          <w:color w:val="000000" w:themeColor="text1"/>
        </w:rPr>
        <w:t xml:space="preserve"> conclu</w:t>
      </w:r>
      <w:r w:rsidR="00A07440">
        <w:rPr>
          <w:rFonts w:ascii="Garamond" w:hAnsi="Garamond"/>
          <w:color w:val="000000" w:themeColor="text1"/>
        </w:rPr>
        <w:t>t</w:t>
      </w:r>
      <w:r w:rsidR="00256637">
        <w:rPr>
          <w:rFonts w:ascii="Garamond" w:hAnsi="Garamond"/>
          <w:color w:val="000000" w:themeColor="text1"/>
        </w:rPr>
        <w:t xml:space="preserve"> qu</w:t>
      </w:r>
      <w:r w:rsidR="00F86CA7">
        <w:rPr>
          <w:rFonts w:ascii="Garamond" w:hAnsi="Garamond"/>
          <w:color w:val="000000" w:themeColor="text1"/>
        </w:rPr>
        <w:t>’</w:t>
      </w:r>
      <w:r w:rsidR="00256637">
        <w:rPr>
          <w:rFonts w:ascii="Garamond" w:hAnsi="Garamond"/>
          <w:color w:val="000000" w:themeColor="text1"/>
        </w:rPr>
        <w:t xml:space="preserve">il plaise au Président du Tribunal administratif de PARIS de bien vouloir : </w:t>
      </w:r>
    </w:p>
    <w:p w14:paraId="3339EBB7" w14:textId="77777777" w:rsidR="00256637" w:rsidRDefault="00256637" w:rsidP="00F52A38">
      <w:pPr>
        <w:spacing w:line="252" w:lineRule="auto"/>
        <w:jc w:val="both"/>
        <w:rPr>
          <w:rFonts w:ascii="Garamond" w:hAnsi="Garamond"/>
          <w:color w:val="000000" w:themeColor="text1"/>
        </w:rPr>
      </w:pPr>
    </w:p>
    <w:p w14:paraId="5A59246A" w14:textId="0780BF73" w:rsidR="00797B94" w:rsidRDefault="00256637" w:rsidP="00797B94">
      <w:pPr>
        <w:pStyle w:val="Paragraphedeliste"/>
        <w:numPr>
          <w:ilvl w:val="0"/>
          <w:numId w:val="37"/>
        </w:numPr>
        <w:spacing w:line="252" w:lineRule="auto"/>
        <w:jc w:val="both"/>
        <w:rPr>
          <w:rFonts w:ascii="Garamond" w:hAnsi="Garamond"/>
          <w:color w:val="000000" w:themeColor="text1"/>
        </w:rPr>
      </w:pPr>
      <w:r w:rsidRPr="00797B94">
        <w:rPr>
          <w:rFonts w:ascii="Garamond" w:hAnsi="Garamond"/>
          <w:b/>
          <w:bCs/>
          <w:color w:val="000000" w:themeColor="text1"/>
        </w:rPr>
        <w:t>ENJOINDRE</w:t>
      </w:r>
      <w:r>
        <w:rPr>
          <w:rFonts w:ascii="Garamond" w:hAnsi="Garamond"/>
          <w:color w:val="000000" w:themeColor="text1"/>
        </w:rPr>
        <w:t xml:space="preserve"> </w:t>
      </w:r>
      <w:r w:rsidR="00797B94" w:rsidRPr="00797B94">
        <w:rPr>
          <w:rFonts w:ascii="Garamond" w:hAnsi="Garamond"/>
          <w:color w:val="000000" w:themeColor="text1"/>
        </w:rPr>
        <w:t>au Premier ministre et aux ministres compétents de prendre</w:t>
      </w:r>
      <w:r w:rsidR="00797B94">
        <w:rPr>
          <w:rFonts w:ascii="Garamond" w:hAnsi="Garamond"/>
        </w:rPr>
        <w:t>, à bref délai, toutes mesures sectorielles concrètes utiles, permettant de procéder à l</w:t>
      </w:r>
      <w:r w:rsidR="00F86CA7">
        <w:rPr>
          <w:rFonts w:ascii="Garamond" w:hAnsi="Garamond"/>
        </w:rPr>
        <w:t>’</w:t>
      </w:r>
      <w:r w:rsidR="00797B94">
        <w:rPr>
          <w:rFonts w:ascii="Garamond" w:hAnsi="Garamond"/>
        </w:rPr>
        <w:t>exécution complète du jugement du 14 octobre 2021, de tenir effectivement compte du surplus d</w:t>
      </w:r>
      <w:r w:rsidR="00F86CA7">
        <w:rPr>
          <w:rFonts w:ascii="Garamond" w:hAnsi="Garamond"/>
        </w:rPr>
        <w:t>’</w:t>
      </w:r>
      <w:r w:rsidR="00797B94">
        <w:rPr>
          <w:rFonts w:ascii="Garamond" w:hAnsi="Garamond"/>
        </w:rPr>
        <w:t>émissions de gaz à effet de serre lié au dépassement du premier budget carbone, d</w:t>
      </w:r>
      <w:r w:rsidR="00F86CA7">
        <w:rPr>
          <w:rFonts w:ascii="Garamond" w:hAnsi="Garamond"/>
        </w:rPr>
        <w:t>’</w:t>
      </w:r>
      <w:r w:rsidR="00797B94">
        <w:rPr>
          <w:rFonts w:ascii="Garamond" w:hAnsi="Garamond"/>
        </w:rPr>
        <w:t>assurer la réparation du préjudice écologique résultant de ce dépassement, et de prévenir, pour l</w:t>
      </w:r>
      <w:r w:rsidR="00F86CA7">
        <w:rPr>
          <w:rFonts w:ascii="Garamond" w:hAnsi="Garamond"/>
        </w:rPr>
        <w:t>’</w:t>
      </w:r>
      <w:r w:rsidR="00797B94">
        <w:rPr>
          <w:rFonts w:ascii="Garamond" w:hAnsi="Garamond"/>
        </w:rPr>
        <w:t>avenir, sa résurgence ou son aggravation</w:t>
      </w:r>
      <w:r w:rsidR="00A07440">
        <w:rPr>
          <w:rFonts w:ascii="Garamond" w:hAnsi="Garamond"/>
        </w:rPr>
        <w:t> ;</w:t>
      </w:r>
    </w:p>
    <w:p w14:paraId="5F429158" w14:textId="77777777" w:rsidR="00256637" w:rsidRPr="00797B94" w:rsidRDefault="00256637" w:rsidP="00797B94">
      <w:pPr>
        <w:spacing w:line="252" w:lineRule="auto"/>
        <w:ind w:left="360"/>
        <w:jc w:val="both"/>
        <w:rPr>
          <w:rFonts w:ascii="Garamond" w:hAnsi="Garamond"/>
          <w:color w:val="000000" w:themeColor="text1"/>
        </w:rPr>
      </w:pPr>
    </w:p>
    <w:p w14:paraId="6F9DB9BB" w14:textId="5F3F307F" w:rsidR="00256637" w:rsidRDefault="00256637" w:rsidP="00256637">
      <w:pPr>
        <w:pStyle w:val="Paragraphedeliste"/>
        <w:numPr>
          <w:ilvl w:val="0"/>
          <w:numId w:val="37"/>
        </w:numPr>
        <w:spacing w:line="252" w:lineRule="auto"/>
        <w:jc w:val="both"/>
        <w:rPr>
          <w:rFonts w:ascii="Garamond" w:hAnsi="Garamond"/>
          <w:color w:val="000000" w:themeColor="text1"/>
        </w:rPr>
      </w:pPr>
      <w:r>
        <w:rPr>
          <w:rFonts w:ascii="Garamond" w:hAnsi="Garamond"/>
          <w:b/>
          <w:color w:val="000000" w:themeColor="text1"/>
        </w:rPr>
        <w:t xml:space="preserve">PRONONCER </w:t>
      </w:r>
      <w:r w:rsidR="006338C7">
        <w:rPr>
          <w:rFonts w:ascii="Garamond" w:hAnsi="Garamond"/>
          <w:color w:val="000000" w:themeColor="text1"/>
        </w:rPr>
        <w:t>une astreinte</w:t>
      </w:r>
      <w:r w:rsidR="006338C7" w:rsidRPr="007664BA">
        <w:rPr>
          <w:rFonts w:ascii="Garamond" w:hAnsi="Garamond"/>
          <w:color w:val="000000" w:themeColor="text1"/>
        </w:rPr>
        <w:t xml:space="preserve"> </w:t>
      </w:r>
      <w:r w:rsidR="006338C7">
        <w:rPr>
          <w:rFonts w:ascii="Garamond" w:hAnsi="Garamond"/>
          <w:color w:val="000000" w:themeColor="text1"/>
        </w:rPr>
        <w:t xml:space="preserve">de </w:t>
      </w:r>
      <w:r w:rsidR="006338C7" w:rsidRPr="0001261E">
        <w:rPr>
          <w:rFonts w:ascii="Garamond" w:hAnsi="Garamond"/>
          <w:color w:val="000000" w:themeColor="text1"/>
        </w:rPr>
        <w:t>1</w:t>
      </w:r>
      <w:r w:rsidR="006338C7">
        <w:rPr>
          <w:rFonts w:ascii="Garamond" w:hAnsi="Garamond"/>
          <w:color w:val="000000" w:themeColor="text1"/>
        </w:rPr>
        <w:t xml:space="preserve"> 102 500 000 </w:t>
      </w:r>
      <w:r w:rsidR="006338C7" w:rsidRPr="0001261E">
        <w:rPr>
          <w:rFonts w:ascii="Garamond" w:hAnsi="Garamond"/>
          <w:color w:val="000000" w:themeColor="text1"/>
        </w:rPr>
        <w:t>euros</w:t>
      </w:r>
      <w:r w:rsidR="006338C7">
        <w:rPr>
          <w:rFonts w:ascii="Garamond" w:hAnsi="Garamond"/>
          <w:color w:val="000000" w:themeColor="text1"/>
        </w:rPr>
        <w:t xml:space="preserve"> </w:t>
      </w:r>
      <w:r>
        <w:rPr>
          <w:rFonts w:ascii="Garamond" w:hAnsi="Garamond"/>
          <w:color w:val="000000" w:themeColor="text1"/>
        </w:rPr>
        <w:t>par semestre de retard à l</w:t>
      </w:r>
      <w:r w:rsidR="00F86CA7">
        <w:rPr>
          <w:rFonts w:ascii="Garamond" w:hAnsi="Garamond"/>
          <w:color w:val="000000" w:themeColor="text1"/>
        </w:rPr>
        <w:t>’</w:t>
      </w:r>
      <w:r>
        <w:rPr>
          <w:rFonts w:ascii="Garamond" w:hAnsi="Garamond"/>
          <w:color w:val="000000" w:themeColor="text1"/>
        </w:rPr>
        <w:t xml:space="preserve">encontre du </w:t>
      </w:r>
      <w:r w:rsidRPr="007664BA">
        <w:rPr>
          <w:rFonts w:ascii="Garamond" w:hAnsi="Garamond"/>
          <w:color w:val="000000" w:themeColor="text1"/>
        </w:rPr>
        <w:t xml:space="preserve">Premier ministre et </w:t>
      </w:r>
      <w:r>
        <w:rPr>
          <w:rFonts w:ascii="Garamond" w:hAnsi="Garamond"/>
          <w:color w:val="000000" w:themeColor="text1"/>
        </w:rPr>
        <w:t xml:space="preserve">des </w:t>
      </w:r>
      <w:r w:rsidRPr="007664BA">
        <w:rPr>
          <w:rFonts w:ascii="Garamond" w:hAnsi="Garamond"/>
          <w:color w:val="000000" w:themeColor="text1"/>
        </w:rPr>
        <w:t xml:space="preserve">ministres compétents </w:t>
      </w:r>
      <w:r>
        <w:rPr>
          <w:rFonts w:ascii="Garamond" w:hAnsi="Garamond"/>
          <w:color w:val="000000" w:themeColor="text1"/>
        </w:rPr>
        <w:t>s</w:t>
      </w:r>
      <w:r w:rsidR="00F86CA7">
        <w:rPr>
          <w:rFonts w:ascii="Garamond" w:hAnsi="Garamond"/>
          <w:color w:val="000000" w:themeColor="text1"/>
        </w:rPr>
        <w:t>’</w:t>
      </w:r>
      <w:r>
        <w:rPr>
          <w:rFonts w:ascii="Garamond" w:hAnsi="Garamond"/>
          <w:color w:val="000000" w:themeColor="text1"/>
        </w:rPr>
        <w:t xml:space="preserve">ils ne justifient pas avoir, dans les </w:t>
      </w:r>
      <w:r w:rsidRPr="00E53BA7">
        <w:rPr>
          <w:rFonts w:ascii="Garamond" w:hAnsi="Garamond"/>
          <w:color w:val="000000" w:themeColor="text1"/>
        </w:rPr>
        <w:t>six</w:t>
      </w:r>
      <w:r>
        <w:rPr>
          <w:rFonts w:ascii="Garamond" w:hAnsi="Garamond"/>
          <w:color w:val="000000" w:themeColor="text1"/>
        </w:rPr>
        <w:t xml:space="preserve"> mois suivant la notification de la décision à intervenir, adopté </w:t>
      </w:r>
      <w:r w:rsidRPr="007664BA">
        <w:rPr>
          <w:rFonts w:ascii="Garamond" w:hAnsi="Garamond"/>
          <w:color w:val="000000" w:themeColor="text1"/>
        </w:rPr>
        <w:t xml:space="preserve">toutes les mesures </w:t>
      </w:r>
      <w:r w:rsidR="00A07440">
        <w:rPr>
          <w:rFonts w:ascii="Garamond" w:hAnsi="Garamond"/>
          <w:color w:val="000000" w:themeColor="text1"/>
        </w:rPr>
        <w:t xml:space="preserve">complémentaires </w:t>
      </w:r>
      <w:r w:rsidRPr="007664BA">
        <w:rPr>
          <w:rFonts w:ascii="Garamond" w:hAnsi="Garamond"/>
          <w:color w:val="000000" w:themeColor="text1"/>
        </w:rPr>
        <w:t xml:space="preserve">nécessaires </w:t>
      </w:r>
      <w:r w:rsidR="00A07440">
        <w:rPr>
          <w:rFonts w:ascii="Garamond" w:hAnsi="Garamond"/>
          <w:color w:val="000000" w:themeColor="text1"/>
        </w:rPr>
        <w:t xml:space="preserve">pour </w:t>
      </w:r>
      <w:r w:rsidR="00A07440">
        <w:rPr>
          <w:rFonts w:ascii="Garamond" w:hAnsi="Garamond"/>
        </w:rPr>
        <w:t xml:space="preserve">procéder à l’exécution complète du jugement du 14 octobre 2021, tenir effectivement compte du surplus d’émissions de gaz à effet de serre lié au dépassement du premier budget carbone, assurer la réparation du préjudice écologique résultant de ce dépassement, et prévenir, pour l’avenir, sa résurgence ou son aggravation. </w:t>
      </w:r>
    </w:p>
    <w:p w14:paraId="153D1D54" w14:textId="3EA2ECBE" w:rsidR="003D12CA" w:rsidRDefault="003D12CA" w:rsidP="00256637">
      <w:pPr>
        <w:spacing w:line="252" w:lineRule="auto"/>
        <w:jc w:val="both"/>
        <w:rPr>
          <w:rFonts w:ascii="Garamond" w:hAnsi="Garamond"/>
          <w:color w:val="000000" w:themeColor="text1"/>
          <w:sz w:val="28"/>
          <w:szCs w:val="28"/>
        </w:rPr>
      </w:pPr>
    </w:p>
    <w:p w14:paraId="1104777A" w14:textId="77777777" w:rsidR="00F133E3" w:rsidRDefault="00F133E3" w:rsidP="00DE411E">
      <w:pPr>
        <w:spacing w:line="252" w:lineRule="auto"/>
        <w:ind w:left="426"/>
        <w:jc w:val="both"/>
        <w:rPr>
          <w:rFonts w:ascii="Garamond" w:hAnsi="Garamond"/>
          <w:color w:val="000000" w:themeColor="text1"/>
          <w:sz w:val="28"/>
          <w:szCs w:val="28"/>
        </w:rPr>
      </w:pPr>
    </w:p>
    <w:p w14:paraId="097AE980" w14:textId="094AC03F" w:rsidR="007B41AF" w:rsidRPr="00256637" w:rsidRDefault="004746BB" w:rsidP="00256637">
      <w:pPr>
        <w:spacing w:line="252" w:lineRule="auto"/>
        <w:ind w:left="5245" w:right="708"/>
        <w:jc w:val="center"/>
        <w:rPr>
          <w:rFonts w:ascii="Garamond" w:hAnsi="Garamond"/>
        </w:rPr>
      </w:pPr>
      <w:r>
        <w:rPr>
          <w:rFonts w:ascii="Garamond" w:hAnsi="Garamond"/>
        </w:rPr>
        <w:t>[SIGNATURE AVOCAT]</w:t>
      </w:r>
    </w:p>
    <w:p w14:paraId="28DD17C1" w14:textId="0A5F68F9" w:rsidR="004A246D" w:rsidRDefault="004A246D">
      <w:pPr>
        <w:rPr>
          <w:rFonts w:ascii="Garamond" w:hAnsi="Garamond"/>
          <w:b/>
          <w:bCs/>
          <w:u w:val="single"/>
        </w:rPr>
      </w:pPr>
    </w:p>
    <w:p w14:paraId="79869794" w14:textId="29E31EAF" w:rsidR="00256637" w:rsidRDefault="00256637">
      <w:pPr>
        <w:rPr>
          <w:rFonts w:ascii="Garamond" w:hAnsi="Garamond"/>
          <w:b/>
          <w:bCs/>
          <w:u w:val="single"/>
        </w:rPr>
      </w:pPr>
    </w:p>
    <w:p w14:paraId="2F565DEE" w14:textId="13BDF5AD" w:rsidR="003E1F1F" w:rsidRDefault="003E1F1F" w:rsidP="003E1F1F">
      <w:pPr>
        <w:tabs>
          <w:tab w:val="left" w:pos="540"/>
          <w:tab w:val="left" w:pos="567"/>
        </w:tabs>
        <w:spacing w:line="252" w:lineRule="auto"/>
        <w:jc w:val="both"/>
        <w:rPr>
          <w:rFonts w:ascii="Garamond" w:hAnsi="Garamond"/>
          <w:b/>
          <w:bCs/>
          <w:u w:val="single"/>
        </w:rPr>
      </w:pPr>
      <w:r>
        <w:rPr>
          <w:rFonts w:ascii="Garamond" w:hAnsi="Garamond"/>
          <w:b/>
          <w:bCs/>
          <w:u w:val="single"/>
        </w:rPr>
        <w:t xml:space="preserve">PRODUCTIONS : </w:t>
      </w:r>
    </w:p>
    <w:p w14:paraId="62268BBA" w14:textId="77777777" w:rsidR="00F026D9" w:rsidRDefault="00F026D9" w:rsidP="003E1F1F">
      <w:pPr>
        <w:tabs>
          <w:tab w:val="left" w:pos="540"/>
          <w:tab w:val="left" w:pos="567"/>
        </w:tabs>
        <w:spacing w:line="252" w:lineRule="auto"/>
        <w:jc w:val="both"/>
        <w:rPr>
          <w:rFonts w:ascii="Garamond" w:hAnsi="Garamond"/>
          <w:b/>
          <w:bCs/>
          <w:u w:val="single"/>
        </w:rPr>
      </w:pPr>
    </w:p>
    <w:p w14:paraId="41FFFA9F" w14:textId="3F5D3EEA" w:rsidR="00F026D9" w:rsidRPr="00797B94" w:rsidRDefault="00797B94" w:rsidP="00F86CA7">
      <w:pPr>
        <w:pStyle w:val="Paragraphedeliste"/>
        <w:numPr>
          <w:ilvl w:val="0"/>
          <w:numId w:val="42"/>
        </w:numPr>
        <w:spacing w:line="252" w:lineRule="auto"/>
        <w:ind w:left="567"/>
        <w:jc w:val="both"/>
        <w:rPr>
          <w:rFonts w:ascii="Garamond" w:hAnsi="Garamond"/>
          <w:b/>
          <w:bCs/>
          <w:u w:val="single"/>
        </w:rPr>
      </w:pPr>
      <w:r w:rsidRPr="00797B94">
        <w:rPr>
          <w:rFonts w:ascii="Garamond" w:hAnsi="Garamond"/>
        </w:rPr>
        <w:t>Jugement avant-dire-droit</w:t>
      </w:r>
      <w:r>
        <w:rPr>
          <w:rFonts w:ascii="Garamond" w:hAnsi="Garamond"/>
        </w:rPr>
        <w:t xml:space="preserve"> du Tribunal administratif de Paris</w:t>
      </w:r>
      <w:r w:rsidRPr="00797B94">
        <w:rPr>
          <w:rFonts w:ascii="Garamond" w:hAnsi="Garamond"/>
        </w:rPr>
        <w:t xml:space="preserve"> du 3 février 2021</w:t>
      </w:r>
    </w:p>
    <w:p w14:paraId="6F811B32" w14:textId="6235076A" w:rsidR="00797B94" w:rsidRPr="00797B94" w:rsidRDefault="00797B94" w:rsidP="00F86CA7">
      <w:pPr>
        <w:pStyle w:val="Paragraphedeliste"/>
        <w:numPr>
          <w:ilvl w:val="0"/>
          <w:numId w:val="42"/>
        </w:numPr>
        <w:spacing w:line="252" w:lineRule="auto"/>
        <w:ind w:left="567"/>
        <w:jc w:val="both"/>
        <w:rPr>
          <w:rFonts w:ascii="Garamond" w:hAnsi="Garamond"/>
          <w:b/>
          <w:bCs/>
          <w:u w:val="single"/>
        </w:rPr>
      </w:pPr>
      <w:r w:rsidRPr="00797B94">
        <w:rPr>
          <w:rFonts w:ascii="Garamond" w:hAnsi="Garamond"/>
          <w:u w:val="single"/>
        </w:rPr>
        <w:t>J</w:t>
      </w:r>
      <w:r>
        <w:rPr>
          <w:rFonts w:ascii="Garamond" w:hAnsi="Garamond"/>
        </w:rPr>
        <w:t>ugement du Tribunal administratif de Paris en date du 14 octobre 2021</w:t>
      </w:r>
    </w:p>
    <w:p w14:paraId="3D530160" w14:textId="1964FBB0" w:rsidR="00F026D9" w:rsidRPr="00F86CA7" w:rsidRDefault="00797B94" w:rsidP="00F86CA7">
      <w:pPr>
        <w:pStyle w:val="Paragraphedeliste"/>
        <w:numPr>
          <w:ilvl w:val="0"/>
          <w:numId w:val="42"/>
        </w:numPr>
        <w:spacing w:line="252" w:lineRule="auto"/>
        <w:ind w:left="567"/>
        <w:jc w:val="both"/>
        <w:rPr>
          <w:rFonts w:ascii="Garamond" w:hAnsi="Garamond"/>
          <w:b/>
          <w:bCs/>
          <w:u w:val="single"/>
        </w:rPr>
      </w:pPr>
      <w:r w:rsidRPr="00797B94">
        <w:rPr>
          <w:rFonts w:ascii="Garamond" w:hAnsi="Garamond"/>
        </w:rPr>
        <w:t>Courrier des associations NAAT, Oxfam France et Greenpeace France du 20 décembre 2022</w:t>
      </w:r>
    </w:p>
    <w:p w14:paraId="2A8E31D4" w14:textId="08EE2D2C" w:rsidR="00BE3C13" w:rsidRPr="00BE3C13" w:rsidRDefault="00BE3C13" w:rsidP="00F86CA7">
      <w:pPr>
        <w:pStyle w:val="Paragraphedeliste"/>
        <w:numPr>
          <w:ilvl w:val="0"/>
          <w:numId w:val="42"/>
        </w:numPr>
        <w:spacing w:line="252" w:lineRule="auto"/>
        <w:ind w:left="567"/>
        <w:jc w:val="both"/>
        <w:rPr>
          <w:rFonts w:ascii="Garamond" w:hAnsi="Garamond"/>
          <w:b/>
          <w:bCs/>
          <w:u w:val="single"/>
        </w:rPr>
      </w:pPr>
      <w:r w:rsidRPr="00BE3C13">
        <w:rPr>
          <w:rFonts w:ascii="Garamond" w:hAnsi="Garamond"/>
        </w:rPr>
        <w:t>Avis 20231554 de la CADA du 20 avril 2023</w:t>
      </w:r>
    </w:p>
    <w:p w14:paraId="36E93E25" w14:textId="3A92BDF5" w:rsidR="00BE3C13" w:rsidRPr="00BE3C13" w:rsidRDefault="00BE3C13" w:rsidP="00F86CA7">
      <w:pPr>
        <w:pStyle w:val="Paragraphedeliste"/>
        <w:numPr>
          <w:ilvl w:val="0"/>
          <w:numId w:val="42"/>
        </w:numPr>
        <w:spacing w:line="252" w:lineRule="auto"/>
        <w:ind w:left="567"/>
        <w:jc w:val="both"/>
        <w:rPr>
          <w:rFonts w:ascii="Garamond" w:hAnsi="Garamond"/>
        </w:rPr>
      </w:pPr>
      <w:r w:rsidRPr="00BE3C13">
        <w:rPr>
          <w:rFonts w:ascii="Garamond" w:hAnsi="Garamond"/>
        </w:rPr>
        <w:t>Avis 20231646 de la CADA du 20 avril 2023</w:t>
      </w:r>
    </w:p>
    <w:p w14:paraId="2BB594F7" w14:textId="6A7DE329" w:rsidR="00F026D9" w:rsidRPr="00F86CA7" w:rsidRDefault="00F86CA7" w:rsidP="00F86CA7">
      <w:pPr>
        <w:pStyle w:val="Paragraphedeliste"/>
        <w:numPr>
          <w:ilvl w:val="0"/>
          <w:numId w:val="42"/>
        </w:numPr>
        <w:spacing w:line="252" w:lineRule="auto"/>
        <w:ind w:left="567"/>
        <w:jc w:val="both"/>
        <w:rPr>
          <w:rFonts w:ascii="Garamond" w:hAnsi="Garamond"/>
          <w:b/>
          <w:bCs/>
          <w:u w:val="single"/>
        </w:rPr>
      </w:pPr>
      <w:r w:rsidRPr="00F86CA7">
        <w:rPr>
          <w:rFonts w:ascii="Garamond" w:hAnsi="Garamond"/>
        </w:rPr>
        <w:t>Rapport Quinet, La valeur de l</w:t>
      </w:r>
      <w:r>
        <w:rPr>
          <w:rFonts w:ascii="Garamond" w:hAnsi="Garamond"/>
        </w:rPr>
        <w:t>’</w:t>
      </w:r>
      <w:r w:rsidRPr="00F86CA7">
        <w:rPr>
          <w:rFonts w:ascii="Garamond" w:hAnsi="Garamond"/>
        </w:rPr>
        <w:t>action pour le climat, février 2019</w:t>
      </w:r>
    </w:p>
    <w:sectPr w:rsidR="00F026D9" w:rsidRPr="00F86CA7" w:rsidSect="00F2197F">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8AC7" w14:textId="77777777" w:rsidR="001A0AD6" w:rsidRDefault="001A0AD6">
      <w:r>
        <w:separator/>
      </w:r>
    </w:p>
  </w:endnote>
  <w:endnote w:type="continuationSeparator" w:id="0">
    <w:p w14:paraId="5714DF1E" w14:textId="77777777" w:rsidR="001A0AD6" w:rsidRDefault="001A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1940" w14:textId="77777777" w:rsidR="00E07998" w:rsidRDefault="00E07998" w:rsidP="00F2197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39B96BA" w14:textId="77777777" w:rsidR="00E07998" w:rsidRDefault="00E079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6FE0" w14:textId="77777777" w:rsidR="00E07998" w:rsidRDefault="00E07998" w:rsidP="00F2197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78</w:t>
    </w:r>
    <w:r>
      <w:rPr>
        <w:rStyle w:val="Numrodepage"/>
      </w:rPr>
      <w:fldChar w:fldCharType="end"/>
    </w:r>
  </w:p>
  <w:p w14:paraId="4630A856" w14:textId="77777777" w:rsidR="00E07998" w:rsidRDefault="00E079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DF92" w14:textId="77777777" w:rsidR="001A0AD6" w:rsidRDefault="001A0AD6">
      <w:r>
        <w:separator/>
      </w:r>
    </w:p>
  </w:footnote>
  <w:footnote w:type="continuationSeparator" w:id="0">
    <w:p w14:paraId="70159922" w14:textId="77777777" w:rsidR="001A0AD6" w:rsidRDefault="001A0AD6">
      <w:r>
        <w:continuationSeparator/>
      </w:r>
    </w:p>
  </w:footnote>
  <w:footnote w:id="1">
    <w:p w14:paraId="0C072928" w14:textId="2DD9F088" w:rsidR="00A07440" w:rsidRPr="00A07440" w:rsidRDefault="00A07440" w:rsidP="00A07440">
      <w:pPr>
        <w:pStyle w:val="Notedebasdepage"/>
        <w:jc w:val="both"/>
        <w:rPr>
          <w:rFonts w:ascii="Garamond" w:hAnsi="Garamond"/>
        </w:rPr>
      </w:pPr>
      <w:r w:rsidRPr="00A07440">
        <w:rPr>
          <w:rStyle w:val="Appelnotedebasdep"/>
          <w:rFonts w:ascii="Garamond" w:hAnsi="Garamond"/>
        </w:rPr>
        <w:footnoteRef/>
      </w:r>
      <w:r w:rsidRPr="00A07440">
        <w:rPr>
          <w:rFonts w:ascii="Garamond" w:hAnsi="Garamond"/>
        </w:rPr>
        <w:t xml:space="preserve"> Disponible sur : </w:t>
      </w:r>
      <w:hyperlink r:id="rId1" w:history="1">
        <w:r w:rsidRPr="00A07440">
          <w:rPr>
            <w:rStyle w:val="Lienhypertexte"/>
            <w:rFonts w:ascii="Garamond" w:hAnsi="Garamond"/>
          </w:rPr>
          <w:t>https://www.citepa.org/fr/2023_05_a08/</w:t>
        </w:r>
      </w:hyperlink>
      <w:r w:rsidRPr="00A07440">
        <w:rPr>
          <w:rFonts w:ascii="Garamond" w:hAnsi="Garamond"/>
        </w:rPr>
        <w:t xml:space="preserve">. </w:t>
      </w:r>
    </w:p>
  </w:footnote>
  <w:footnote w:id="2">
    <w:p w14:paraId="2CFA12B8" w14:textId="57B50ED5" w:rsidR="008325AB" w:rsidRPr="00A07440" w:rsidRDefault="008325AB" w:rsidP="00A07440">
      <w:pPr>
        <w:pStyle w:val="Notedebasdepage"/>
        <w:jc w:val="both"/>
        <w:rPr>
          <w:rFonts w:ascii="Garamond" w:hAnsi="Garamond"/>
        </w:rPr>
      </w:pPr>
      <w:r w:rsidRPr="00A07440">
        <w:rPr>
          <w:rStyle w:val="Appelnotedebasdep"/>
          <w:rFonts w:ascii="Garamond" w:hAnsi="Garamond"/>
        </w:rPr>
        <w:footnoteRef/>
      </w:r>
      <w:r w:rsidRPr="00A07440">
        <w:rPr>
          <w:rFonts w:ascii="Garamond" w:hAnsi="Garamond"/>
        </w:rPr>
        <w:t xml:space="preserve"> Disponible sur : </w:t>
      </w:r>
      <w:hyperlink r:id="rId2" w:history="1">
        <w:r w:rsidRPr="00A07440">
          <w:rPr>
            <w:rStyle w:val="Lienhypertexte"/>
            <w:rFonts w:ascii="Garamond" w:hAnsi="Garamond"/>
          </w:rPr>
          <w:t>https://www.citepa.org/fr/secten/</w:t>
        </w:r>
      </w:hyperlink>
      <w:r w:rsidRPr="00A07440">
        <w:rPr>
          <w:rFonts w:ascii="Garamond" w:hAnsi="Garamond"/>
        </w:rPr>
        <w:t xml:space="preserve">. </w:t>
      </w:r>
    </w:p>
  </w:footnote>
  <w:footnote w:id="3">
    <w:p w14:paraId="7B1D7C78" w14:textId="2F4826EA" w:rsidR="002A591D" w:rsidRPr="00A07440" w:rsidRDefault="002A591D" w:rsidP="00A07440">
      <w:pPr>
        <w:pStyle w:val="Notedebasdepage"/>
        <w:jc w:val="both"/>
        <w:rPr>
          <w:rFonts w:ascii="Garamond" w:hAnsi="Garamond"/>
        </w:rPr>
      </w:pPr>
      <w:r w:rsidRPr="00A07440">
        <w:rPr>
          <w:rStyle w:val="Appelnotedebasdep"/>
          <w:rFonts w:ascii="Garamond" w:hAnsi="Garamond"/>
        </w:rPr>
        <w:footnoteRef/>
      </w:r>
      <w:r w:rsidRPr="00A07440">
        <w:rPr>
          <w:rFonts w:ascii="Garamond" w:hAnsi="Garamond"/>
        </w:rPr>
        <w:t xml:space="preserve"> </w:t>
      </w:r>
      <w:r w:rsidRPr="00A07440">
        <w:rPr>
          <w:rFonts w:ascii="Garamond" w:hAnsi="Garamond"/>
          <w:color w:val="000000" w:themeColor="text1"/>
        </w:rPr>
        <w:t>Ministère de l</w:t>
      </w:r>
      <w:r w:rsidR="00F86CA7" w:rsidRPr="00A07440">
        <w:rPr>
          <w:rFonts w:ascii="Garamond" w:hAnsi="Garamond"/>
          <w:color w:val="000000" w:themeColor="text1"/>
        </w:rPr>
        <w:t>’</w:t>
      </w:r>
      <w:r w:rsidRPr="00A07440">
        <w:rPr>
          <w:rFonts w:ascii="Garamond" w:hAnsi="Garamond"/>
          <w:color w:val="000000" w:themeColor="text1"/>
        </w:rPr>
        <w:t>environnement, « Les passoires énergétiques dans le parc locatif privé au 1</w:t>
      </w:r>
      <w:r w:rsidRPr="00A07440">
        <w:rPr>
          <w:rFonts w:ascii="Garamond" w:hAnsi="Garamond"/>
          <w:color w:val="000000" w:themeColor="text1"/>
          <w:vertAlign w:val="superscript"/>
        </w:rPr>
        <w:t>er</w:t>
      </w:r>
      <w:r w:rsidRPr="00A07440">
        <w:rPr>
          <w:rFonts w:ascii="Garamond" w:hAnsi="Garamond"/>
          <w:color w:val="000000" w:themeColor="text1"/>
        </w:rPr>
        <w:t xml:space="preserve"> janvier 2022 », disponible sur : </w:t>
      </w:r>
      <w:hyperlink r:id="rId3" w:history="1">
        <w:r w:rsidRPr="00A07440">
          <w:rPr>
            <w:rStyle w:val="Lienhypertexte"/>
            <w:rFonts w:ascii="Garamond" w:hAnsi="Garamond"/>
          </w:rPr>
          <w:t>https://www.statistiques.developpement-durable.gouv.fr/les-passoires-energetiques-du-parc-locatif-prive-au-1er-janvier-2022-0</w:t>
        </w:r>
      </w:hyperlink>
      <w:r w:rsidRPr="00A07440">
        <w:rPr>
          <w:rFonts w:ascii="Garamond" w:hAnsi="Garamond"/>
          <w:color w:val="000000" w:themeColor="text1"/>
        </w:rPr>
        <w:t xml:space="preserve">. </w:t>
      </w:r>
    </w:p>
  </w:footnote>
  <w:footnote w:id="4">
    <w:p w14:paraId="1578D6D6" w14:textId="7E8C7F72" w:rsidR="002A591D" w:rsidRPr="00A07440" w:rsidRDefault="002A591D" w:rsidP="00A07440">
      <w:pPr>
        <w:pStyle w:val="Notedebasdepage"/>
        <w:jc w:val="both"/>
        <w:rPr>
          <w:rFonts w:ascii="Garamond" w:hAnsi="Garamond"/>
        </w:rPr>
      </w:pPr>
      <w:r w:rsidRPr="00A07440">
        <w:rPr>
          <w:rStyle w:val="Appelnotedebasdep"/>
          <w:rFonts w:ascii="Garamond" w:hAnsi="Garamond"/>
        </w:rPr>
        <w:footnoteRef/>
      </w:r>
      <w:r w:rsidRPr="00A07440">
        <w:rPr>
          <w:rFonts w:ascii="Garamond" w:hAnsi="Garamond"/>
        </w:rPr>
        <w:t xml:space="preserve"> En ce sens : </w:t>
      </w:r>
      <w:r w:rsidRPr="00A07440">
        <w:rPr>
          <w:rFonts w:ascii="Garamond" w:hAnsi="Garamond"/>
          <w:color w:val="000000" w:themeColor="text1"/>
        </w:rPr>
        <w:t xml:space="preserve">ONPE, </w:t>
      </w:r>
      <w:r w:rsidRPr="00A07440">
        <w:rPr>
          <w:rFonts w:ascii="Garamond" w:hAnsi="Garamond"/>
          <w:i/>
          <w:iCs/>
          <w:color w:val="000000" w:themeColor="text1"/>
        </w:rPr>
        <w:t>Les chiffres clés de la précarité́ énergétique</w:t>
      </w:r>
      <w:r w:rsidRPr="00A07440">
        <w:rPr>
          <w:rFonts w:ascii="Garamond" w:hAnsi="Garamond"/>
          <w:color w:val="000000" w:themeColor="text1"/>
        </w:rPr>
        <w:t xml:space="preserve">, tableau de bord 2023, disponible sur : </w:t>
      </w:r>
      <w:hyperlink r:id="rId4" w:history="1">
        <w:r w:rsidRPr="00A07440">
          <w:rPr>
            <w:rStyle w:val="Lienhypertexte"/>
            <w:rFonts w:ascii="Garamond" w:hAnsi="Garamond"/>
          </w:rPr>
          <w:t>https://onpe.org/</w:t>
        </w:r>
        <w:r w:rsidRPr="00A07440">
          <w:rPr>
            <w:rStyle w:val="Lienhypertexte"/>
            <w:rFonts w:ascii="Garamond" w:hAnsi="Garamond"/>
          </w:rPr>
          <w:br/>
          <w:t>sites/default/files/chiffres_cles_2022_s2.pdf</w:t>
        </w:r>
      </w:hyperlink>
      <w:r w:rsidRPr="00A07440">
        <w:rPr>
          <w:rFonts w:ascii="Garamond" w:hAnsi="Garamond"/>
          <w:color w:val="000000" w:themeColor="text1"/>
        </w:rPr>
        <w:t xml:space="preserve">. </w:t>
      </w:r>
    </w:p>
  </w:footnote>
  <w:footnote w:id="5">
    <w:p w14:paraId="64E9D1C3" w14:textId="26876053" w:rsidR="004746BB" w:rsidRPr="00A07440" w:rsidRDefault="004746BB" w:rsidP="00A07440">
      <w:pPr>
        <w:pStyle w:val="Notedebasdepage"/>
        <w:jc w:val="both"/>
        <w:rPr>
          <w:rFonts w:ascii="Garamond" w:hAnsi="Garamond"/>
        </w:rPr>
      </w:pPr>
      <w:r w:rsidRPr="00A07440">
        <w:rPr>
          <w:rStyle w:val="Appelnotedebasdep"/>
          <w:rFonts w:ascii="Garamond" w:hAnsi="Garamond"/>
        </w:rPr>
        <w:footnoteRef/>
      </w:r>
      <w:r w:rsidRPr="00A07440">
        <w:rPr>
          <w:rFonts w:ascii="Garamond" w:hAnsi="Garamond"/>
        </w:rPr>
        <w:t xml:space="preserve"> Disponible sur : </w:t>
      </w:r>
      <w:hyperlink r:id="rId5" w:history="1">
        <w:r w:rsidRPr="00A07440">
          <w:rPr>
            <w:rStyle w:val="Lienhypertexte"/>
            <w:rFonts w:ascii="Garamond" w:hAnsi="Garamond"/>
          </w:rPr>
          <w:t>https://www.citepa.org/fr/secten/</w:t>
        </w:r>
      </w:hyperlink>
      <w:r w:rsidRPr="00A07440">
        <w:rPr>
          <w:rFonts w:ascii="Garamond" w:hAnsi="Garamond"/>
          <w:color w:val="000000" w:themeColor="text1"/>
        </w:rPr>
        <w:t>.</w:t>
      </w:r>
    </w:p>
  </w:footnote>
  <w:footnote w:id="6">
    <w:p w14:paraId="29FD4688" w14:textId="77777777" w:rsidR="004746BB" w:rsidRPr="005661B5" w:rsidRDefault="004746BB" w:rsidP="00A07440">
      <w:pPr>
        <w:pStyle w:val="Notedebasdepage"/>
        <w:jc w:val="both"/>
        <w:rPr>
          <w:rFonts w:ascii="Garamond" w:hAnsi="Garamond"/>
        </w:rPr>
      </w:pPr>
      <w:r w:rsidRPr="00A07440">
        <w:rPr>
          <w:rStyle w:val="Appelnotedebasdep"/>
          <w:rFonts w:ascii="Garamond" w:hAnsi="Garamond"/>
          <w:color w:val="000000" w:themeColor="text1"/>
        </w:rPr>
        <w:footnoteRef/>
      </w:r>
      <w:r w:rsidRPr="00A07440">
        <w:rPr>
          <w:rFonts w:ascii="Garamond" w:hAnsi="Garamond"/>
          <w:color w:val="000000" w:themeColor="text1"/>
        </w:rPr>
        <w:t xml:space="preserve"> Disponible sur : </w:t>
      </w:r>
      <w:hyperlink r:id="rId6" w:history="1">
        <w:r w:rsidRPr="00A07440">
          <w:rPr>
            <w:rStyle w:val="Lienhypertexte"/>
            <w:rFonts w:ascii="Garamond" w:hAnsi="Garamond"/>
            <w:color w:val="000000" w:themeColor="text1"/>
          </w:rPr>
          <w:t>https://www.oecd-ilibrary.org/sites/346c3272-fr/index.html?itemId=/content/component/</w:t>
        </w:r>
        <w:r w:rsidRPr="00A07440">
          <w:rPr>
            <w:rStyle w:val="Lienhypertexte"/>
            <w:rFonts w:ascii="Garamond" w:hAnsi="Garamond"/>
            <w:color w:val="000000" w:themeColor="text1"/>
          </w:rPr>
          <w:br/>
          <w:t>346c3272-fr</w:t>
        </w:r>
      </w:hyperlink>
      <w:r w:rsidRPr="00A07440">
        <w:rPr>
          <w:rFonts w:ascii="Garamond" w:hAnsi="Garamond"/>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numFmt w:val="bullet"/>
      <w:lvlText w:val="-"/>
      <w:lvlJc w:val="left"/>
      <w:pPr>
        <w:tabs>
          <w:tab w:val="num" w:pos="0"/>
        </w:tabs>
        <w:ind w:left="720" w:hanging="360"/>
      </w:pPr>
      <w:rPr>
        <w:rFonts w:ascii="Calibri" w:hAnsi="Calibri" w:cs="Times New Roman" w:hint="default"/>
        <w:color w:val="000000"/>
        <w:lang w:eastAsia="fr-FR"/>
      </w:rPr>
    </w:lvl>
  </w:abstractNum>
  <w:abstractNum w:abstractNumId="1" w15:restartNumberingAfterBreak="0">
    <w:nsid w:val="04B11AE1"/>
    <w:multiLevelType w:val="hybridMultilevel"/>
    <w:tmpl w:val="8F46EB02"/>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2911D7"/>
    <w:multiLevelType w:val="hybridMultilevel"/>
    <w:tmpl w:val="D18EF5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AB03A8"/>
    <w:multiLevelType w:val="hybridMultilevel"/>
    <w:tmpl w:val="8F46EB02"/>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921396"/>
    <w:multiLevelType w:val="hybridMultilevel"/>
    <w:tmpl w:val="1908CEC0"/>
    <w:lvl w:ilvl="0" w:tplc="3A4AA796">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7A5AE3"/>
    <w:multiLevelType w:val="hybridMultilevel"/>
    <w:tmpl w:val="9A2AB228"/>
    <w:lvl w:ilvl="0" w:tplc="DC1CB7D2">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B3A31"/>
    <w:multiLevelType w:val="multilevel"/>
    <w:tmpl w:val="55FC3090"/>
    <w:lvl w:ilvl="0">
      <w:start w:val="18"/>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EA26FA"/>
    <w:multiLevelType w:val="hybridMultilevel"/>
    <w:tmpl w:val="17AA1BA8"/>
    <w:lvl w:ilvl="0" w:tplc="DD14E62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83DE1"/>
    <w:multiLevelType w:val="hybridMultilevel"/>
    <w:tmpl w:val="55424464"/>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9A45D8"/>
    <w:multiLevelType w:val="hybridMultilevel"/>
    <w:tmpl w:val="0BA62914"/>
    <w:lvl w:ilvl="0" w:tplc="7C404302">
      <w:start w:val="1"/>
      <w:numFmt w:val="low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AEB53E4"/>
    <w:multiLevelType w:val="hybridMultilevel"/>
    <w:tmpl w:val="C1986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582694"/>
    <w:multiLevelType w:val="hybridMultilevel"/>
    <w:tmpl w:val="D7961490"/>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2" w15:restartNumberingAfterBreak="0">
    <w:nsid w:val="23506481"/>
    <w:multiLevelType w:val="hybridMultilevel"/>
    <w:tmpl w:val="D0CCE26E"/>
    <w:lvl w:ilvl="0" w:tplc="3A4AA796">
      <w:start w:val="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DD4464"/>
    <w:multiLevelType w:val="hybridMultilevel"/>
    <w:tmpl w:val="27D6876C"/>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C102FA"/>
    <w:multiLevelType w:val="hybridMultilevel"/>
    <w:tmpl w:val="C81A143E"/>
    <w:lvl w:ilvl="0" w:tplc="CFA8E412">
      <w:start w:val="1"/>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0B4ABC"/>
    <w:multiLevelType w:val="hybridMultilevel"/>
    <w:tmpl w:val="A9B406C6"/>
    <w:lvl w:ilvl="0" w:tplc="020284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AA38EA"/>
    <w:multiLevelType w:val="hybridMultilevel"/>
    <w:tmpl w:val="369C6014"/>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F62083"/>
    <w:multiLevelType w:val="hybridMultilevel"/>
    <w:tmpl w:val="213A0D38"/>
    <w:lvl w:ilvl="0" w:tplc="CFA8E412">
      <w:start w:val="1"/>
      <w:numFmt w:val="bullet"/>
      <w:lvlText w:val="-"/>
      <w:lvlJc w:val="left"/>
      <w:pPr>
        <w:ind w:left="720" w:hanging="360"/>
      </w:pPr>
      <w:rPr>
        <w:rFonts w:ascii="Garamond" w:eastAsiaTheme="minorEastAsia"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A32E4"/>
    <w:multiLevelType w:val="hybridMultilevel"/>
    <w:tmpl w:val="A4EC9AAA"/>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FA2610"/>
    <w:multiLevelType w:val="hybridMultilevel"/>
    <w:tmpl w:val="C7EAE2D2"/>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994A33"/>
    <w:multiLevelType w:val="hybridMultilevel"/>
    <w:tmpl w:val="61CEA680"/>
    <w:lvl w:ilvl="0" w:tplc="9118EDA4">
      <w:start w:val="57"/>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4752E0"/>
    <w:multiLevelType w:val="hybridMultilevel"/>
    <w:tmpl w:val="64546C34"/>
    <w:lvl w:ilvl="0" w:tplc="D1A675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DB75FF"/>
    <w:multiLevelType w:val="hybridMultilevel"/>
    <w:tmpl w:val="CCB26FAA"/>
    <w:lvl w:ilvl="0" w:tplc="50728292">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005B6C"/>
    <w:multiLevelType w:val="hybridMultilevel"/>
    <w:tmpl w:val="F4D42FEA"/>
    <w:lvl w:ilvl="0" w:tplc="D81AEE58">
      <w:numFmt w:val="bullet"/>
      <w:lvlText w:val="-"/>
      <w:lvlJc w:val="left"/>
      <w:pPr>
        <w:ind w:left="927" w:hanging="360"/>
      </w:pPr>
      <w:rPr>
        <w:rFonts w:ascii="Garamond" w:eastAsia="Times New Roman" w:hAnsi="Garamond" w:cs="Times New Roman" w:hint="default"/>
        <w:i/>
        <w:i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066BF9"/>
    <w:multiLevelType w:val="hybridMultilevel"/>
    <w:tmpl w:val="D9948064"/>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7B2F4C"/>
    <w:multiLevelType w:val="hybridMultilevel"/>
    <w:tmpl w:val="9AF2DD70"/>
    <w:lvl w:ilvl="0" w:tplc="CDE444F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2005E7"/>
    <w:multiLevelType w:val="hybridMultilevel"/>
    <w:tmpl w:val="FBE04BC4"/>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2D7914"/>
    <w:multiLevelType w:val="hybridMultilevel"/>
    <w:tmpl w:val="A11C5360"/>
    <w:lvl w:ilvl="0" w:tplc="F2E01C2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28310A"/>
    <w:multiLevelType w:val="hybridMultilevel"/>
    <w:tmpl w:val="D18EF5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DA5F70"/>
    <w:multiLevelType w:val="hybridMultilevel"/>
    <w:tmpl w:val="E49CE534"/>
    <w:lvl w:ilvl="0" w:tplc="040C000F">
      <w:start w:val="1"/>
      <w:numFmt w:val="decimal"/>
      <w:lvlText w:val="%1."/>
      <w:lvlJc w:val="left"/>
      <w:pPr>
        <w:ind w:left="900" w:hanging="360"/>
      </w:pPr>
      <w:rPr>
        <w:rFonts w:hint="default"/>
        <w:b w:val="0"/>
        <w:u w:val="none"/>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59E44AFD"/>
    <w:multiLevelType w:val="hybridMultilevel"/>
    <w:tmpl w:val="CD70E0CE"/>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5C2A3C"/>
    <w:multiLevelType w:val="hybridMultilevel"/>
    <w:tmpl w:val="B9C2BE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9A7393"/>
    <w:multiLevelType w:val="hybridMultilevel"/>
    <w:tmpl w:val="A11C5360"/>
    <w:lvl w:ilvl="0" w:tplc="F2E01C2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235A3C"/>
    <w:multiLevelType w:val="hybridMultilevel"/>
    <w:tmpl w:val="31B09D5C"/>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3F6D75"/>
    <w:multiLevelType w:val="hybridMultilevel"/>
    <w:tmpl w:val="3CA6F930"/>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8823CD"/>
    <w:multiLevelType w:val="hybridMultilevel"/>
    <w:tmpl w:val="3882204A"/>
    <w:lvl w:ilvl="0" w:tplc="AFFE355A">
      <w:start w:val="7"/>
      <w:numFmt w:val="bullet"/>
      <w:lvlText w:val="-"/>
      <w:lvlJc w:val="left"/>
      <w:pPr>
        <w:ind w:left="720" w:hanging="360"/>
      </w:pPr>
      <w:rPr>
        <w:rFonts w:ascii="Garamond" w:eastAsia="Times New Roman" w:hAnsi="Garamond" w:cs="Times New Roman"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315000"/>
    <w:multiLevelType w:val="multilevel"/>
    <w:tmpl w:val="9CFC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017276"/>
    <w:multiLevelType w:val="hybridMultilevel"/>
    <w:tmpl w:val="F85CAEAE"/>
    <w:lvl w:ilvl="0" w:tplc="D81AEE58">
      <w:numFmt w:val="bullet"/>
      <w:lvlText w:val="-"/>
      <w:lvlJc w:val="left"/>
      <w:pPr>
        <w:ind w:left="927" w:hanging="360"/>
      </w:pPr>
      <w:rPr>
        <w:rFonts w:ascii="Garamond" w:eastAsia="Times New Roman" w:hAnsi="Garamond" w:cs="Times New Roman" w:hint="default"/>
        <w:i/>
        <w:iCs/>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8" w15:restartNumberingAfterBreak="0">
    <w:nsid w:val="776B07CA"/>
    <w:multiLevelType w:val="hybridMultilevel"/>
    <w:tmpl w:val="4CACD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AA4C06"/>
    <w:multiLevelType w:val="hybridMultilevel"/>
    <w:tmpl w:val="3CA6F930"/>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DBD7E12"/>
    <w:multiLevelType w:val="hybridMultilevel"/>
    <w:tmpl w:val="3A4C0702"/>
    <w:lvl w:ilvl="0" w:tplc="48568652">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740C24"/>
    <w:multiLevelType w:val="hybridMultilevel"/>
    <w:tmpl w:val="A11C5360"/>
    <w:lvl w:ilvl="0" w:tplc="F2E01C2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57519511">
    <w:abstractNumId w:val="11"/>
  </w:num>
  <w:num w:numId="2" w16cid:durableId="1750695390">
    <w:abstractNumId w:val="22"/>
  </w:num>
  <w:num w:numId="3" w16cid:durableId="810907704">
    <w:abstractNumId w:val="12"/>
  </w:num>
  <w:num w:numId="4" w16cid:durableId="1431394483">
    <w:abstractNumId w:val="10"/>
  </w:num>
  <w:num w:numId="5" w16cid:durableId="2130926375">
    <w:abstractNumId w:val="5"/>
  </w:num>
  <w:num w:numId="6" w16cid:durableId="1596327642">
    <w:abstractNumId w:val="7"/>
  </w:num>
  <w:num w:numId="7" w16cid:durableId="1464617410">
    <w:abstractNumId w:val="4"/>
  </w:num>
  <w:num w:numId="8" w16cid:durableId="714699612">
    <w:abstractNumId w:val="32"/>
  </w:num>
  <w:num w:numId="9" w16cid:durableId="408357407">
    <w:abstractNumId w:val="0"/>
  </w:num>
  <w:num w:numId="10" w16cid:durableId="1406298582">
    <w:abstractNumId w:val="35"/>
  </w:num>
  <w:num w:numId="11" w16cid:durableId="1110276378">
    <w:abstractNumId w:val="27"/>
  </w:num>
  <w:num w:numId="12" w16cid:durableId="378282883">
    <w:abstractNumId w:val="36"/>
  </w:num>
  <w:num w:numId="13" w16cid:durableId="893467867">
    <w:abstractNumId w:val="41"/>
  </w:num>
  <w:num w:numId="14" w16cid:durableId="44448674">
    <w:abstractNumId w:val="17"/>
  </w:num>
  <w:num w:numId="15" w16cid:durableId="694501650">
    <w:abstractNumId w:val="14"/>
  </w:num>
  <w:num w:numId="16" w16cid:durableId="68576351">
    <w:abstractNumId w:val="21"/>
  </w:num>
  <w:num w:numId="17" w16cid:durableId="440418738">
    <w:abstractNumId w:val="3"/>
  </w:num>
  <w:num w:numId="18" w16cid:durableId="920068534">
    <w:abstractNumId w:val="16"/>
  </w:num>
  <w:num w:numId="19" w16cid:durableId="1824350750">
    <w:abstractNumId w:val="40"/>
  </w:num>
  <w:num w:numId="20" w16cid:durableId="835921776">
    <w:abstractNumId w:val="26"/>
  </w:num>
  <w:num w:numId="21" w16cid:durableId="432630842">
    <w:abstractNumId w:val="1"/>
  </w:num>
  <w:num w:numId="22" w16cid:durableId="27924595">
    <w:abstractNumId w:val="19"/>
  </w:num>
  <w:num w:numId="23" w16cid:durableId="737285221">
    <w:abstractNumId w:val="24"/>
  </w:num>
  <w:num w:numId="24" w16cid:durableId="734669120">
    <w:abstractNumId w:val="8"/>
  </w:num>
  <w:num w:numId="25" w16cid:durableId="1609698442">
    <w:abstractNumId w:val="33"/>
  </w:num>
  <w:num w:numId="26" w16cid:durableId="100805291">
    <w:abstractNumId w:val="39"/>
  </w:num>
  <w:num w:numId="27" w16cid:durableId="290407480">
    <w:abstractNumId w:val="18"/>
  </w:num>
  <w:num w:numId="28" w16cid:durableId="1815443628">
    <w:abstractNumId w:val="13"/>
  </w:num>
  <w:num w:numId="29" w16cid:durableId="1517647141">
    <w:abstractNumId w:val="30"/>
  </w:num>
  <w:num w:numId="30" w16cid:durableId="1746025391">
    <w:abstractNumId w:val="34"/>
  </w:num>
  <w:num w:numId="31" w16cid:durableId="1510945209">
    <w:abstractNumId w:val="2"/>
  </w:num>
  <w:num w:numId="32" w16cid:durableId="230699844">
    <w:abstractNumId w:val="25"/>
  </w:num>
  <w:num w:numId="33" w16cid:durableId="1041517515">
    <w:abstractNumId w:val="28"/>
  </w:num>
  <w:num w:numId="34" w16cid:durableId="705058514">
    <w:abstractNumId w:val="37"/>
  </w:num>
  <w:num w:numId="35" w16cid:durableId="186875128">
    <w:abstractNumId w:val="15"/>
  </w:num>
  <w:num w:numId="36" w16cid:durableId="1242519302">
    <w:abstractNumId w:val="23"/>
  </w:num>
  <w:num w:numId="37" w16cid:durableId="100958071">
    <w:abstractNumId w:val="20"/>
  </w:num>
  <w:num w:numId="38" w16cid:durableId="1842238784">
    <w:abstractNumId w:val="9"/>
  </w:num>
  <w:num w:numId="39" w16cid:durableId="964627048">
    <w:abstractNumId w:val="38"/>
  </w:num>
  <w:num w:numId="40" w16cid:durableId="414546558">
    <w:abstractNumId w:val="6"/>
  </w:num>
  <w:num w:numId="41" w16cid:durableId="325864822">
    <w:abstractNumId w:val="31"/>
  </w:num>
  <w:num w:numId="42" w16cid:durableId="78122067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FF"/>
    <w:rsid w:val="00001658"/>
    <w:rsid w:val="00001CD3"/>
    <w:rsid w:val="00003531"/>
    <w:rsid w:val="000036EF"/>
    <w:rsid w:val="000039FE"/>
    <w:rsid w:val="000041E4"/>
    <w:rsid w:val="0000474D"/>
    <w:rsid w:val="000049DA"/>
    <w:rsid w:val="000055F6"/>
    <w:rsid w:val="000056BF"/>
    <w:rsid w:val="00007C5D"/>
    <w:rsid w:val="0001109F"/>
    <w:rsid w:val="00011481"/>
    <w:rsid w:val="0001261E"/>
    <w:rsid w:val="00012661"/>
    <w:rsid w:val="00012F16"/>
    <w:rsid w:val="00013917"/>
    <w:rsid w:val="000152FF"/>
    <w:rsid w:val="00015E05"/>
    <w:rsid w:val="00015E4D"/>
    <w:rsid w:val="00017742"/>
    <w:rsid w:val="00020E22"/>
    <w:rsid w:val="00023AE7"/>
    <w:rsid w:val="00023E02"/>
    <w:rsid w:val="000240F1"/>
    <w:rsid w:val="0003059A"/>
    <w:rsid w:val="00030E56"/>
    <w:rsid w:val="000314AA"/>
    <w:rsid w:val="00032BFB"/>
    <w:rsid w:val="00032D95"/>
    <w:rsid w:val="00032F52"/>
    <w:rsid w:val="00032FD8"/>
    <w:rsid w:val="0003311E"/>
    <w:rsid w:val="00033ABC"/>
    <w:rsid w:val="0003472C"/>
    <w:rsid w:val="00035D12"/>
    <w:rsid w:val="00035DDC"/>
    <w:rsid w:val="0003725D"/>
    <w:rsid w:val="00040059"/>
    <w:rsid w:val="0004030F"/>
    <w:rsid w:val="00043092"/>
    <w:rsid w:val="00043611"/>
    <w:rsid w:val="00043A2C"/>
    <w:rsid w:val="00044AFD"/>
    <w:rsid w:val="0005139F"/>
    <w:rsid w:val="0005292D"/>
    <w:rsid w:val="00052958"/>
    <w:rsid w:val="000552E9"/>
    <w:rsid w:val="00055E38"/>
    <w:rsid w:val="00055F48"/>
    <w:rsid w:val="000601D6"/>
    <w:rsid w:val="0006123C"/>
    <w:rsid w:val="0006233C"/>
    <w:rsid w:val="000630E5"/>
    <w:rsid w:val="00063742"/>
    <w:rsid w:val="0006499C"/>
    <w:rsid w:val="000659B9"/>
    <w:rsid w:val="00065DC5"/>
    <w:rsid w:val="0006672A"/>
    <w:rsid w:val="00066CB1"/>
    <w:rsid w:val="00067BFD"/>
    <w:rsid w:val="00070129"/>
    <w:rsid w:val="00070342"/>
    <w:rsid w:val="00070879"/>
    <w:rsid w:val="00071814"/>
    <w:rsid w:val="00071953"/>
    <w:rsid w:val="00071B45"/>
    <w:rsid w:val="0007206C"/>
    <w:rsid w:val="00072187"/>
    <w:rsid w:val="0007312D"/>
    <w:rsid w:val="00073E92"/>
    <w:rsid w:val="00074B70"/>
    <w:rsid w:val="00076B3A"/>
    <w:rsid w:val="00076E90"/>
    <w:rsid w:val="000778E9"/>
    <w:rsid w:val="00080120"/>
    <w:rsid w:val="00080701"/>
    <w:rsid w:val="00080AF6"/>
    <w:rsid w:val="00081B99"/>
    <w:rsid w:val="000821BC"/>
    <w:rsid w:val="00084B5E"/>
    <w:rsid w:val="0008585E"/>
    <w:rsid w:val="00085868"/>
    <w:rsid w:val="000932BC"/>
    <w:rsid w:val="00093840"/>
    <w:rsid w:val="0009386A"/>
    <w:rsid w:val="00093A03"/>
    <w:rsid w:val="00093F9C"/>
    <w:rsid w:val="000948F5"/>
    <w:rsid w:val="00096148"/>
    <w:rsid w:val="0009645A"/>
    <w:rsid w:val="000969CF"/>
    <w:rsid w:val="00097A6D"/>
    <w:rsid w:val="00097C56"/>
    <w:rsid w:val="00097EEC"/>
    <w:rsid w:val="000A0540"/>
    <w:rsid w:val="000A0B22"/>
    <w:rsid w:val="000A1320"/>
    <w:rsid w:val="000A2520"/>
    <w:rsid w:val="000A3480"/>
    <w:rsid w:val="000A472F"/>
    <w:rsid w:val="000A53E6"/>
    <w:rsid w:val="000A5703"/>
    <w:rsid w:val="000A5CEF"/>
    <w:rsid w:val="000A6C41"/>
    <w:rsid w:val="000A75A0"/>
    <w:rsid w:val="000B0CBD"/>
    <w:rsid w:val="000B1008"/>
    <w:rsid w:val="000B14CC"/>
    <w:rsid w:val="000B2A36"/>
    <w:rsid w:val="000B2D27"/>
    <w:rsid w:val="000B2D9F"/>
    <w:rsid w:val="000B3AC1"/>
    <w:rsid w:val="000B6D0D"/>
    <w:rsid w:val="000B75B4"/>
    <w:rsid w:val="000B77C9"/>
    <w:rsid w:val="000B7D57"/>
    <w:rsid w:val="000B7E3D"/>
    <w:rsid w:val="000B7F53"/>
    <w:rsid w:val="000C0C99"/>
    <w:rsid w:val="000C0CAD"/>
    <w:rsid w:val="000C2102"/>
    <w:rsid w:val="000C2E98"/>
    <w:rsid w:val="000C352E"/>
    <w:rsid w:val="000C3974"/>
    <w:rsid w:val="000C403D"/>
    <w:rsid w:val="000C5D54"/>
    <w:rsid w:val="000D043C"/>
    <w:rsid w:val="000D3213"/>
    <w:rsid w:val="000D4D7F"/>
    <w:rsid w:val="000D4F42"/>
    <w:rsid w:val="000D5571"/>
    <w:rsid w:val="000D6194"/>
    <w:rsid w:val="000D77F9"/>
    <w:rsid w:val="000D7A4D"/>
    <w:rsid w:val="000E0185"/>
    <w:rsid w:val="000E1E0C"/>
    <w:rsid w:val="000E2434"/>
    <w:rsid w:val="000E28A0"/>
    <w:rsid w:val="000E4514"/>
    <w:rsid w:val="000E7130"/>
    <w:rsid w:val="000E792C"/>
    <w:rsid w:val="000F035D"/>
    <w:rsid w:val="000F0D86"/>
    <w:rsid w:val="000F165D"/>
    <w:rsid w:val="000F2153"/>
    <w:rsid w:val="000F21D8"/>
    <w:rsid w:val="000F40F5"/>
    <w:rsid w:val="000F43FC"/>
    <w:rsid w:val="000F49F8"/>
    <w:rsid w:val="000F4E89"/>
    <w:rsid w:val="000F6366"/>
    <w:rsid w:val="000F7A04"/>
    <w:rsid w:val="000F7FB3"/>
    <w:rsid w:val="00100E47"/>
    <w:rsid w:val="0010194E"/>
    <w:rsid w:val="0010255B"/>
    <w:rsid w:val="00103091"/>
    <w:rsid w:val="0010322D"/>
    <w:rsid w:val="00103748"/>
    <w:rsid w:val="00104AE7"/>
    <w:rsid w:val="00105047"/>
    <w:rsid w:val="00105DC2"/>
    <w:rsid w:val="00106207"/>
    <w:rsid w:val="00110CAC"/>
    <w:rsid w:val="00111308"/>
    <w:rsid w:val="001122D8"/>
    <w:rsid w:val="00112314"/>
    <w:rsid w:val="0011281C"/>
    <w:rsid w:val="00112A67"/>
    <w:rsid w:val="001130A7"/>
    <w:rsid w:val="001139C5"/>
    <w:rsid w:val="001139DB"/>
    <w:rsid w:val="00114438"/>
    <w:rsid w:val="001149A5"/>
    <w:rsid w:val="00114BD6"/>
    <w:rsid w:val="00115561"/>
    <w:rsid w:val="00117DC3"/>
    <w:rsid w:val="00117E17"/>
    <w:rsid w:val="00121EFB"/>
    <w:rsid w:val="00122544"/>
    <w:rsid w:val="0012270E"/>
    <w:rsid w:val="00123E0A"/>
    <w:rsid w:val="00124814"/>
    <w:rsid w:val="00124BF8"/>
    <w:rsid w:val="00125ACA"/>
    <w:rsid w:val="00130416"/>
    <w:rsid w:val="001308D9"/>
    <w:rsid w:val="00130995"/>
    <w:rsid w:val="00130C9C"/>
    <w:rsid w:val="001332DB"/>
    <w:rsid w:val="0013384A"/>
    <w:rsid w:val="00133D7D"/>
    <w:rsid w:val="001343AD"/>
    <w:rsid w:val="0013480B"/>
    <w:rsid w:val="00134887"/>
    <w:rsid w:val="00134AF7"/>
    <w:rsid w:val="0013656B"/>
    <w:rsid w:val="0013661D"/>
    <w:rsid w:val="00136D83"/>
    <w:rsid w:val="00137A0D"/>
    <w:rsid w:val="001400E2"/>
    <w:rsid w:val="00140607"/>
    <w:rsid w:val="00141091"/>
    <w:rsid w:val="00141AE9"/>
    <w:rsid w:val="00141C6D"/>
    <w:rsid w:val="00143579"/>
    <w:rsid w:val="00143B62"/>
    <w:rsid w:val="00143C2A"/>
    <w:rsid w:val="001443D9"/>
    <w:rsid w:val="001448DE"/>
    <w:rsid w:val="00144AFA"/>
    <w:rsid w:val="00145955"/>
    <w:rsid w:val="00145D00"/>
    <w:rsid w:val="001477A4"/>
    <w:rsid w:val="00147844"/>
    <w:rsid w:val="00147CA2"/>
    <w:rsid w:val="00150665"/>
    <w:rsid w:val="001514E1"/>
    <w:rsid w:val="00151B72"/>
    <w:rsid w:val="00152C81"/>
    <w:rsid w:val="0015327F"/>
    <w:rsid w:val="001552DF"/>
    <w:rsid w:val="00155655"/>
    <w:rsid w:val="001577C8"/>
    <w:rsid w:val="00157D74"/>
    <w:rsid w:val="00160160"/>
    <w:rsid w:val="00161676"/>
    <w:rsid w:val="00163405"/>
    <w:rsid w:val="00163579"/>
    <w:rsid w:val="00164F34"/>
    <w:rsid w:val="00165691"/>
    <w:rsid w:val="00165BAC"/>
    <w:rsid w:val="00166E40"/>
    <w:rsid w:val="001676DD"/>
    <w:rsid w:val="00167E69"/>
    <w:rsid w:val="00170A03"/>
    <w:rsid w:val="00173C4D"/>
    <w:rsid w:val="0017619E"/>
    <w:rsid w:val="0017687A"/>
    <w:rsid w:val="00177B9A"/>
    <w:rsid w:val="0018089D"/>
    <w:rsid w:val="00180F61"/>
    <w:rsid w:val="0018288D"/>
    <w:rsid w:val="0018352C"/>
    <w:rsid w:val="001839E1"/>
    <w:rsid w:val="0018417D"/>
    <w:rsid w:val="001844B5"/>
    <w:rsid w:val="0018495E"/>
    <w:rsid w:val="001856B5"/>
    <w:rsid w:val="00185911"/>
    <w:rsid w:val="00185A24"/>
    <w:rsid w:val="00185F7B"/>
    <w:rsid w:val="00186215"/>
    <w:rsid w:val="00186A4B"/>
    <w:rsid w:val="00187445"/>
    <w:rsid w:val="00190C38"/>
    <w:rsid w:val="00190D31"/>
    <w:rsid w:val="00190E56"/>
    <w:rsid w:val="00191DC0"/>
    <w:rsid w:val="0019386A"/>
    <w:rsid w:val="001954DE"/>
    <w:rsid w:val="00195540"/>
    <w:rsid w:val="0019585B"/>
    <w:rsid w:val="00195A3E"/>
    <w:rsid w:val="00196903"/>
    <w:rsid w:val="00197B52"/>
    <w:rsid w:val="001A01F1"/>
    <w:rsid w:val="001A0AD6"/>
    <w:rsid w:val="001A13A8"/>
    <w:rsid w:val="001A2224"/>
    <w:rsid w:val="001A29A1"/>
    <w:rsid w:val="001A2B61"/>
    <w:rsid w:val="001A3E16"/>
    <w:rsid w:val="001A3E1C"/>
    <w:rsid w:val="001A4323"/>
    <w:rsid w:val="001A4661"/>
    <w:rsid w:val="001A47FD"/>
    <w:rsid w:val="001A4ACD"/>
    <w:rsid w:val="001A5FB4"/>
    <w:rsid w:val="001A65EA"/>
    <w:rsid w:val="001A73C0"/>
    <w:rsid w:val="001B0037"/>
    <w:rsid w:val="001B0B3D"/>
    <w:rsid w:val="001B0D54"/>
    <w:rsid w:val="001B1336"/>
    <w:rsid w:val="001B21AA"/>
    <w:rsid w:val="001B4F7E"/>
    <w:rsid w:val="001B5AE9"/>
    <w:rsid w:val="001B62C2"/>
    <w:rsid w:val="001B6AB2"/>
    <w:rsid w:val="001C047B"/>
    <w:rsid w:val="001C0A89"/>
    <w:rsid w:val="001C1479"/>
    <w:rsid w:val="001C18D7"/>
    <w:rsid w:val="001C2F5B"/>
    <w:rsid w:val="001C383A"/>
    <w:rsid w:val="001C38A0"/>
    <w:rsid w:val="001C3EA9"/>
    <w:rsid w:val="001C4D6D"/>
    <w:rsid w:val="001C6A1E"/>
    <w:rsid w:val="001C6B3A"/>
    <w:rsid w:val="001C6C6C"/>
    <w:rsid w:val="001C76DE"/>
    <w:rsid w:val="001C7A21"/>
    <w:rsid w:val="001C7A80"/>
    <w:rsid w:val="001D00FC"/>
    <w:rsid w:val="001D1232"/>
    <w:rsid w:val="001D15C6"/>
    <w:rsid w:val="001D197C"/>
    <w:rsid w:val="001D20B6"/>
    <w:rsid w:val="001D3875"/>
    <w:rsid w:val="001D3D1B"/>
    <w:rsid w:val="001D3E4D"/>
    <w:rsid w:val="001D3E69"/>
    <w:rsid w:val="001D4D09"/>
    <w:rsid w:val="001D589A"/>
    <w:rsid w:val="001D665E"/>
    <w:rsid w:val="001D77CF"/>
    <w:rsid w:val="001D7890"/>
    <w:rsid w:val="001D7B5F"/>
    <w:rsid w:val="001D7E12"/>
    <w:rsid w:val="001E023A"/>
    <w:rsid w:val="001E0743"/>
    <w:rsid w:val="001E0D26"/>
    <w:rsid w:val="001E12CE"/>
    <w:rsid w:val="001E1704"/>
    <w:rsid w:val="001E1C30"/>
    <w:rsid w:val="001E1C55"/>
    <w:rsid w:val="001E2423"/>
    <w:rsid w:val="001E367A"/>
    <w:rsid w:val="001E3842"/>
    <w:rsid w:val="001E3C4D"/>
    <w:rsid w:val="001E4366"/>
    <w:rsid w:val="001E4CC7"/>
    <w:rsid w:val="001E5F3A"/>
    <w:rsid w:val="001E66F6"/>
    <w:rsid w:val="001E6A66"/>
    <w:rsid w:val="001E7257"/>
    <w:rsid w:val="001F1258"/>
    <w:rsid w:val="001F32E9"/>
    <w:rsid w:val="001F5B0D"/>
    <w:rsid w:val="001F5C7A"/>
    <w:rsid w:val="001F62DA"/>
    <w:rsid w:val="001F648A"/>
    <w:rsid w:val="001F70FE"/>
    <w:rsid w:val="001F73B0"/>
    <w:rsid w:val="001F7BBB"/>
    <w:rsid w:val="002006C4"/>
    <w:rsid w:val="00203174"/>
    <w:rsid w:val="00204344"/>
    <w:rsid w:val="00210071"/>
    <w:rsid w:val="002103E9"/>
    <w:rsid w:val="00210B90"/>
    <w:rsid w:val="00211169"/>
    <w:rsid w:val="002116DA"/>
    <w:rsid w:val="002118D2"/>
    <w:rsid w:val="00214124"/>
    <w:rsid w:val="00214283"/>
    <w:rsid w:val="002154E5"/>
    <w:rsid w:val="00215EED"/>
    <w:rsid w:val="0022034C"/>
    <w:rsid w:val="00220975"/>
    <w:rsid w:val="002220BF"/>
    <w:rsid w:val="002220D3"/>
    <w:rsid w:val="00222EED"/>
    <w:rsid w:val="002258B5"/>
    <w:rsid w:val="002277A2"/>
    <w:rsid w:val="00227A7F"/>
    <w:rsid w:val="00231077"/>
    <w:rsid w:val="00232986"/>
    <w:rsid w:val="002331A1"/>
    <w:rsid w:val="00233443"/>
    <w:rsid w:val="002334F0"/>
    <w:rsid w:val="00234B56"/>
    <w:rsid w:val="00234E61"/>
    <w:rsid w:val="002352E5"/>
    <w:rsid w:val="00235594"/>
    <w:rsid w:val="00235B11"/>
    <w:rsid w:val="002364C5"/>
    <w:rsid w:val="00236B08"/>
    <w:rsid w:val="00236F67"/>
    <w:rsid w:val="00237EE9"/>
    <w:rsid w:val="00240D84"/>
    <w:rsid w:val="0024100F"/>
    <w:rsid w:val="00241C2F"/>
    <w:rsid w:val="00242427"/>
    <w:rsid w:val="00243A0D"/>
    <w:rsid w:val="00244C09"/>
    <w:rsid w:val="00244C47"/>
    <w:rsid w:val="00245034"/>
    <w:rsid w:val="00246450"/>
    <w:rsid w:val="00246EA7"/>
    <w:rsid w:val="00250945"/>
    <w:rsid w:val="0025160F"/>
    <w:rsid w:val="00251712"/>
    <w:rsid w:val="002519BD"/>
    <w:rsid w:val="00251DAF"/>
    <w:rsid w:val="002531C3"/>
    <w:rsid w:val="00254BF1"/>
    <w:rsid w:val="00256152"/>
    <w:rsid w:val="0025638F"/>
    <w:rsid w:val="002565E8"/>
    <w:rsid w:val="00256637"/>
    <w:rsid w:val="00257982"/>
    <w:rsid w:val="002604E8"/>
    <w:rsid w:val="0026051A"/>
    <w:rsid w:val="002612B6"/>
    <w:rsid w:val="00262033"/>
    <w:rsid w:val="00262F47"/>
    <w:rsid w:val="0026306E"/>
    <w:rsid w:val="00263F9C"/>
    <w:rsid w:val="00264591"/>
    <w:rsid w:val="0026560D"/>
    <w:rsid w:val="002658BF"/>
    <w:rsid w:val="00265CF7"/>
    <w:rsid w:val="002665B6"/>
    <w:rsid w:val="002677F4"/>
    <w:rsid w:val="0027126C"/>
    <w:rsid w:val="00272E96"/>
    <w:rsid w:val="00274907"/>
    <w:rsid w:val="0027493E"/>
    <w:rsid w:val="00274A54"/>
    <w:rsid w:val="00274BA2"/>
    <w:rsid w:val="0027520A"/>
    <w:rsid w:val="00276E65"/>
    <w:rsid w:val="00277DF6"/>
    <w:rsid w:val="002812FD"/>
    <w:rsid w:val="00282AD6"/>
    <w:rsid w:val="00282BA7"/>
    <w:rsid w:val="00282C4F"/>
    <w:rsid w:val="002830D8"/>
    <w:rsid w:val="00283C17"/>
    <w:rsid w:val="00285391"/>
    <w:rsid w:val="00286ED1"/>
    <w:rsid w:val="00287291"/>
    <w:rsid w:val="002905C3"/>
    <w:rsid w:val="002906B4"/>
    <w:rsid w:val="0029103F"/>
    <w:rsid w:val="00291416"/>
    <w:rsid w:val="00291C85"/>
    <w:rsid w:val="00293634"/>
    <w:rsid w:val="00294338"/>
    <w:rsid w:val="0029498F"/>
    <w:rsid w:val="002978FC"/>
    <w:rsid w:val="002A02E5"/>
    <w:rsid w:val="002A29D1"/>
    <w:rsid w:val="002A2C57"/>
    <w:rsid w:val="002A328E"/>
    <w:rsid w:val="002A3897"/>
    <w:rsid w:val="002A3AC9"/>
    <w:rsid w:val="002A4896"/>
    <w:rsid w:val="002A591D"/>
    <w:rsid w:val="002A6013"/>
    <w:rsid w:val="002A77B5"/>
    <w:rsid w:val="002B0452"/>
    <w:rsid w:val="002B0525"/>
    <w:rsid w:val="002B05EF"/>
    <w:rsid w:val="002B08F9"/>
    <w:rsid w:val="002B1E30"/>
    <w:rsid w:val="002B2780"/>
    <w:rsid w:val="002B28C0"/>
    <w:rsid w:val="002B2ADD"/>
    <w:rsid w:val="002B2D32"/>
    <w:rsid w:val="002B4712"/>
    <w:rsid w:val="002B4E0A"/>
    <w:rsid w:val="002B54F0"/>
    <w:rsid w:val="002B62E2"/>
    <w:rsid w:val="002B6924"/>
    <w:rsid w:val="002B6C1E"/>
    <w:rsid w:val="002C138F"/>
    <w:rsid w:val="002C1946"/>
    <w:rsid w:val="002C2B47"/>
    <w:rsid w:val="002C4427"/>
    <w:rsid w:val="002C63DB"/>
    <w:rsid w:val="002C64C4"/>
    <w:rsid w:val="002D0B0C"/>
    <w:rsid w:val="002D0E4A"/>
    <w:rsid w:val="002D0EBF"/>
    <w:rsid w:val="002D1780"/>
    <w:rsid w:val="002D1CE9"/>
    <w:rsid w:val="002D241D"/>
    <w:rsid w:val="002D250E"/>
    <w:rsid w:val="002D2F71"/>
    <w:rsid w:val="002D3030"/>
    <w:rsid w:val="002D38B7"/>
    <w:rsid w:val="002D3BAE"/>
    <w:rsid w:val="002D3BB7"/>
    <w:rsid w:val="002D7D93"/>
    <w:rsid w:val="002E0D04"/>
    <w:rsid w:val="002E0E22"/>
    <w:rsid w:val="002E1125"/>
    <w:rsid w:val="002E12C6"/>
    <w:rsid w:val="002E1682"/>
    <w:rsid w:val="002E1A2D"/>
    <w:rsid w:val="002E1BBF"/>
    <w:rsid w:val="002E244D"/>
    <w:rsid w:val="002E287E"/>
    <w:rsid w:val="002E4374"/>
    <w:rsid w:val="002E536D"/>
    <w:rsid w:val="002E5CB1"/>
    <w:rsid w:val="002E7355"/>
    <w:rsid w:val="002E757B"/>
    <w:rsid w:val="002F29AE"/>
    <w:rsid w:val="002F2BA2"/>
    <w:rsid w:val="002F3BDD"/>
    <w:rsid w:val="002F3F2B"/>
    <w:rsid w:val="002F43BC"/>
    <w:rsid w:val="002F5BBC"/>
    <w:rsid w:val="002F6568"/>
    <w:rsid w:val="002F691A"/>
    <w:rsid w:val="002F7211"/>
    <w:rsid w:val="002F7AD4"/>
    <w:rsid w:val="00301972"/>
    <w:rsid w:val="0030269A"/>
    <w:rsid w:val="003026FE"/>
    <w:rsid w:val="00302755"/>
    <w:rsid w:val="00302F14"/>
    <w:rsid w:val="00304218"/>
    <w:rsid w:val="00305482"/>
    <w:rsid w:val="00306FD2"/>
    <w:rsid w:val="00307115"/>
    <w:rsid w:val="00307BFB"/>
    <w:rsid w:val="0031013A"/>
    <w:rsid w:val="0031062D"/>
    <w:rsid w:val="00310693"/>
    <w:rsid w:val="00310AC9"/>
    <w:rsid w:val="00311288"/>
    <w:rsid w:val="00314609"/>
    <w:rsid w:val="003146D1"/>
    <w:rsid w:val="003151A5"/>
    <w:rsid w:val="00316839"/>
    <w:rsid w:val="00316B38"/>
    <w:rsid w:val="00316CD3"/>
    <w:rsid w:val="0031732E"/>
    <w:rsid w:val="00320D69"/>
    <w:rsid w:val="003229CC"/>
    <w:rsid w:val="00323DBB"/>
    <w:rsid w:val="00324351"/>
    <w:rsid w:val="00324B53"/>
    <w:rsid w:val="00326C87"/>
    <w:rsid w:val="00327017"/>
    <w:rsid w:val="00330D5B"/>
    <w:rsid w:val="00331B13"/>
    <w:rsid w:val="0033205B"/>
    <w:rsid w:val="00333A18"/>
    <w:rsid w:val="00334A84"/>
    <w:rsid w:val="003351DB"/>
    <w:rsid w:val="00335AB5"/>
    <w:rsid w:val="0033665A"/>
    <w:rsid w:val="00336892"/>
    <w:rsid w:val="00342D84"/>
    <w:rsid w:val="003430BB"/>
    <w:rsid w:val="003433FB"/>
    <w:rsid w:val="003444E8"/>
    <w:rsid w:val="00344EE5"/>
    <w:rsid w:val="003457CD"/>
    <w:rsid w:val="00345CD7"/>
    <w:rsid w:val="003461DD"/>
    <w:rsid w:val="003466F9"/>
    <w:rsid w:val="00347776"/>
    <w:rsid w:val="00347B28"/>
    <w:rsid w:val="00347B4E"/>
    <w:rsid w:val="00351516"/>
    <w:rsid w:val="00351D7F"/>
    <w:rsid w:val="00351DAA"/>
    <w:rsid w:val="003528A3"/>
    <w:rsid w:val="00352950"/>
    <w:rsid w:val="00353E65"/>
    <w:rsid w:val="0035449C"/>
    <w:rsid w:val="00354625"/>
    <w:rsid w:val="00355A8E"/>
    <w:rsid w:val="00361926"/>
    <w:rsid w:val="00361B26"/>
    <w:rsid w:val="0036214A"/>
    <w:rsid w:val="003621E5"/>
    <w:rsid w:val="00362373"/>
    <w:rsid w:val="00363F2C"/>
    <w:rsid w:val="00365268"/>
    <w:rsid w:val="00365DAB"/>
    <w:rsid w:val="00366650"/>
    <w:rsid w:val="003669B7"/>
    <w:rsid w:val="00366A2D"/>
    <w:rsid w:val="003675B2"/>
    <w:rsid w:val="00367C78"/>
    <w:rsid w:val="00370287"/>
    <w:rsid w:val="0037082A"/>
    <w:rsid w:val="00370F44"/>
    <w:rsid w:val="00370FDF"/>
    <w:rsid w:val="00370FF8"/>
    <w:rsid w:val="00371811"/>
    <w:rsid w:val="00372124"/>
    <w:rsid w:val="00372AED"/>
    <w:rsid w:val="00372B80"/>
    <w:rsid w:val="00372CB4"/>
    <w:rsid w:val="0037326E"/>
    <w:rsid w:val="003735E7"/>
    <w:rsid w:val="003745D8"/>
    <w:rsid w:val="00375B38"/>
    <w:rsid w:val="00375E21"/>
    <w:rsid w:val="003772DC"/>
    <w:rsid w:val="00377A0B"/>
    <w:rsid w:val="0038208C"/>
    <w:rsid w:val="0038399D"/>
    <w:rsid w:val="00383BCB"/>
    <w:rsid w:val="00383F0E"/>
    <w:rsid w:val="00385660"/>
    <w:rsid w:val="0038694C"/>
    <w:rsid w:val="00386A67"/>
    <w:rsid w:val="00387073"/>
    <w:rsid w:val="00387110"/>
    <w:rsid w:val="003873B4"/>
    <w:rsid w:val="0039171A"/>
    <w:rsid w:val="0039288B"/>
    <w:rsid w:val="00392C65"/>
    <w:rsid w:val="00394072"/>
    <w:rsid w:val="00395EE3"/>
    <w:rsid w:val="00396047"/>
    <w:rsid w:val="003965DA"/>
    <w:rsid w:val="00396A4C"/>
    <w:rsid w:val="00396F74"/>
    <w:rsid w:val="003A0709"/>
    <w:rsid w:val="003A34A9"/>
    <w:rsid w:val="003A3D04"/>
    <w:rsid w:val="003A3E27"/>
    <w:rsid w:val="003A4262"/>
    <w:rsid w:val="003A4826"/>
    <w:rsid w:val="003A4E86"/>
    <w:rsid w:val="003A58DA"/>
    <w:rsid w:val="003A6F3A"/>
    <w:rsid w:val="003A71B9"/>
    <w:rsid w:val="003A731D"/>
    <w:rsid w:val="003A7940"/>
    <w:rsid w:val="003B0451"/>
    <w:rsid w:val="003B0509"/>
    <w:rsid w:val="003B183E"/>
    <w:rsid w:val="003B219B"/>
    <w:rsid w:val="003B2D7D"/>
    <w:rsid w:val="003B34DF"/>
    <w:rsid w:val="003B439A"/>
    <w:rsid w:val="003B4CE2"/>
    <w:rsid w:val="003B5CD0"/>
    <w:rsid w:val="003B5DFF"/>
    <w:rsid w:val="003B7185"/>
    <w:rsid w:val="003B7235"/>
    <w:rsid w:val="003C1042"/>
    <w:rsid w:val="003C104E"/>
    <w:rsid w:val="003C255F"/>
    <w:rsid w:val="003C47CF"/>
    <w:rsid w:val="003C5255"/>
    <w:rsid w:val="003C56A6"/>
    <w:rsid w:val="003C5AF3"/>
    <w:rsid w:val="003C646A"/>
    <w:rsid w:val="003C6CD5"/>
    <w:rsid w:val="003C6F2F"/>
    <w:rsid w:val="003C70BE"/>
    <w:rsid w:val="003D08EA"/>
    <w:rsid w:val="003D093E"/>
    <w:rsid w:val="003D12CA"/>
    <w:rsid w:val="003D1469"/>
    <w:rsid w:val="003D27C5"/>
    <w:rsid w:val="003D3D82"/>
    <w:rsid w:val="003D44DB"/>
    <w:rsid w:val="003D4A72"/>
    <w:rsid w:val="003D4C1C"/>
    <w:rsid w:val="003D53AD"/>
    <w:rsid w:val="003D59E1"/>
    <w:rsid w:val="003D62B9"/>
    <w:rsid w:val="003D6B34"/>
    <w:rsid w:val="003D6E2A"/>
    <w:rsid w:val="003D6F9F"/>
    <w:rsid w:val="003D7780"/>
    <w:rsid w:val="003D7FD1"/>
    <w:rsid w:val="003E1F1F"/>
    <w:rsid w:val="003E2093"/>
    <w:rsid w:val="003E2B81"/>
    <w:rsid w:val="003E3ADA"/>
    <w:rsid w:val="003E6A2E"/>
    <w:rsid w:val="003E6C31"/>
    <w:rsid w:val="003F16D2"/>
    <w:rsid w:val="003F16DA"/>
    <w:rsid w:val="003F177D"/>
    <w:rsid w:val="003F2794"/>
    <w:rsid w:val="003F3DBE"/>
    <w:rsid w:val="003F4241"/>
    <w:rsid w:val="003F712A"/>
    <w:rsid w:val="0040032D"/>
    <w:rsid w:val="004007BC"/>
    <w:rsid w:val="00401281"/>
    <w:rsid w:val="004027B5"/>
    <w:rsid w:val="00403219"/>
    <w:rsid w:val="00403A39"/>
    <w:rsid w:val="00403BA1"/>
    <w:rsid w:val="00405CA8"/>
    <w:rsid w:val="004067E9"/>
    <w:rsid w:val="00406A72"/>
    <w:rsid w:val="004075BC"/>
    <w:rsid w:val="0041126F"/>
    <w:rsid w:val="00411E3E"/>
    <w:rsid w:val="004120BE"/>
    <w:rsid w:val="004120E3"/>
    <w:rsid w:val="004121C4"/>
    <w:rsid w:val="00413ACC"/>
    <w:rsid w:val="00413D24"/>
    <w:rsid w:val="00414CAF"/>
    <w:rsid w:val="00415050"/>
    <w:rsid w:val="0041658E"/>
    <w:rsid w:val="0041761D"/>
    <w:rsid w:val="004202AA"/>
    <w:rsid w:val="00420AC8"/>
    <w:rsid w:val="00422C05"/>
    <w:rsid w:val="00422E4B"/>
    <w:rsid w:val="004245DA"/>
    <w:rsid w:val="00424EE4"/>
    <w:rsid w:val="00425F59"/>
    <w:rsid w:val="00431EAA"/>
    <w:rsid w:val="0043288D"/>
    <w:rsid w:val="00432E05"/>
    <w:rsid w:val="00432EFA"/>
    <w:rsid w:val="00432F7F"/>
    <w:rsid w:val="00437700"/>
    <w:rsid w:val="004401CB"/>
    <w:rsid w:val="004402B1"/>
    <w:rsid w:val="00442A60"/>
    <w:rsid w:val="00442EB8"/>
    <w:rsid w:val="00443467"/>
    <w:rsid w:val="004450C7"/>
    <w:rsid w:val="0044663D"/>
    <w:rsid w:val="00446B83"/>
    <w:rsid w:val="00447D9C"/>
    <w:rsid w:val="00450AAA"/>
    <w:rsid w:val="00450CFA"/>
    <w:rsid w:val="00451B74"/>
    <w:rsid w:val="00451FB6"/>
    <w:rsid w:val="00453402"/>
    <w:rsid w:val="004536CD"/>
    <w:rsid w:val="00454B6B"/>
    <w:rsid w:val="004555DA"/>
    <w:rsid w:val="00455D77"/>
    <w:rsid w:val="00456C2E"/>
    <w:rsid w:val="004607B6"/>
    <w:rsid w:val="00460837"/>
    <w:rsid w:val="00460AB9"/>
    <w:rsid w:val="0046128B"/>
    <w:rsid w:val="004616B0"/>
    <w:rsid w:val="004619A5"/>
    <w:rsid w:val="0046278F"/>
    <w:rsid w:val="004627D1"/>
    <w:rsid w:val="00462C63"/>
    <w:rsid w:val="00462C84"/>
    <w:rsid w:val="004644B8"/>
    <w:rsid w:val="004648A2"/>
    <w:rsid w:val="00465A10"/>
    <w:rsid w:val="00465B44"/>
    <w:rsid w:val="00465B97"/>
    <w:rsid w:val="0046664B"/>
    <w:rsid w:val="0046702B"/>
    <w:rsid w:val="00470351"/>
    <w:rsid w:val="00470EB3"/>
    <w:rsid w:val="00471907"/>
    <w:rsid w:val="00471BEA"/>
    <w:rsid w:val="004728FF"/>
    <w:rsid w:val="00472B72"/>
    <w:rsid w:val="00472F45"/>
    <w:rsid w:val="00473276"/>
    <w:rsid w:val="004746BB"/>
    <w:rsid w:val="00474730"/>
    <w:rsid w:val="0047699E"/>
    <w:rsid w:val="0047759F"/>
    <w:rsid w:val="00477AF8"/>
    <w:rsid w:val="00480B8C"/>
    <w:rsid w:val="0048266C"/>
    <w:rsid w:val="00482FF3"/>
    <w:rsid w:val="004835B8"/>
    <w:rsid w:val="00484165"/>
    <w:rsid w:val="004844EF"/>
    <w:rsid w:val="00484D57"/>
    <w:rsid w:val="004850C9"/>
    <w:rsid w:val="00485BF1"/>
    <w:rsid w:val="004867C9"/>
    <w:rsid w:val="004873C2"/>
    <w:rsid w:val="004901D7"/>
    <w:rsid w:val="004902C5"/>
    <w:rsid w:val="004903E8"/>
    <w:rsid w:val="0049073F"/>
    <w:rsid w:val="00490BFC"/>
    <w:rsid w:val="00491047"/>
    <w:rsid w:val="00491C4D"/>
    <w:rsid w:val="004932F1"/>
    <w:rsid w:val="00495512"/>
    <w:rsid w:val="00495A36"/>
    <w:rsid w:val="00496D0F"/>
    <w:rsid w:val="0049714A"/>
    <w:rsid w:val="0049717B"/>
    <w:rsid w:val="00497A0D"/>
    <w:rsid w:val="00497F17"/>
    <w:rsid w:val="004A01AA"/>
    <w:rsid w:val="004A083D"/>
    <w:rsid w:val="004A0980"/>
    <w:rsid w:val="004A0E62"/>
    <w:rsid w:val="004A246D"/>
    <w:rsid w:val="004A3338"/>
    <w:rsid w:val="004A3F9D"/>
    <w:rsid w:val="004A74AC"/>
    <w:rsid w:val="004B03A7"/>
    <w:rsid w:val="004B2D8C"/>
    <w:rsid w:val="004B344C"/>
    <w:rsid w:val="004B3D38"/>
    <w:rsid w:val="004B4390"/>
    <w:rsid w:val="004B4F43"/>
    <w:rsid w:val="004B4FBC"/>
    <w:rsid w:val="004B5934"/>
    <w:rsid w:val="004B705E"/>
    <w:rsid w:val="004B7D87"/>
    <w:rsid w:val="004B7DB1"/>
    <w:rsid w:val="004C07D0"/>
    <w:rsid w:val="004C0D51"/>
    <w:rsid w:val="004C1549"/>
    <w:rsid w:val="004C1D7F"/>
    <w:rsid w:val="004C1D88"/>
    <w:rsid w:val="004C4384"/>
    <w:rsid w:val="004C48C3"/>
    <w:rsid w:val="004C5B42"/>
    <w:rsid w:val="004C6C63"/>
    <w:rsid w:val="004C6CAE"/>
    <w:rsid w:val="004C743D"/>
    <w:rsid w:val="004C76A2"/>
    <w:rsid w:val="004C7E3F"/>
    <w:rsid w:val="004D052B"/>
    <w:rsid w:val="004D0AE2"/>
    <w:rsid w:val="004D1F19"/>
    <w:rsid w:val="004D2980"/>
    <w:rsid w:val="004D3107"/>
    <w:rsid w:val="004D381A"/>
    <w:rsid w:val="004D3918"/>
    <w:rsid w:val="004D41B3"/>
    <w:rsid w:val="004D48F2"/>
    <w:rsid w:val="004D5EF6"/>
    <w:rsid w:val="004D61BC"/>
    <w:rsid w:val="004D61E2"/>
    <w:rsid w:val="004D6C4C"/>
    <w:rsid w:val="004D7012"/>
    <w:rsid w:val="004D75BF"/>
    <w:rsid w:val="004D7B14"/>
    <w:rsid w:val="004E008E"/>
    <w:rsid w:val="004E0350"/>
    <w:rsid w:val="004E0402"/>
    <w:rsid w:val="004E158B"/>
    <w:rsid w:val="004E183A"/>
    <w:rsid w:val="004E42B0"/>
    <w:rsid w:val="004E4B60"/>
    <w:rsid w:val="004E59B9"/>
    <w:rsid w:val="004E7457"/>
    <w:rsid w:val="004F09F4"/>
    <w:rsid w:val="004F1BB4"/>
    <w:rsid w:val="004F1BFA"/>
    <w:rsid w:val="004F1E62"/>
    <w:rsid w:val="004F3262"/>
    <w:rsid w:val="004F3379"/>
    <w:rsid w:val="004F3699"/>
    <w:rsid w:val="004F44D9"/>
    <w:rsid w:val="004F4A04"/>
    <w:rsid w:val="004F4A62"/>
    <w:rsid w:val="004F4C91"/>
    <w:rsid w:val="004F50C2"/>
    <w:rsid w:val="004F5F5B"/>
    <w:rsid w:val="004F67F7"/>
    <w:rsid w:val="004F6E08"/>
    <w:rsid w:val="0050000B"/>
    <w:rsid w:val="005004D7"/>
    <w:rsid w:val="00500637"/>
    <w:rsid w:val="00500931"/>
    <w:rsid w:val="005019B7"/>
    <w:rsid w:val="00501EC8"/>
    <w:rsid w:val="0050320E"/>
    <w:rsid w:val="005032E4"/>
    <w:rsid w:val="0050383E"/>
    <w:rsid w:val="00503D36"/>
    <w:rsid w:val="00503F0E"/>
    <w:rsid w:val="00505064"/>
    <w:rsid w:val="00505482"/>
    <w:rsid w:val="00510B58"/>
    <w:rsid w:val="00510E9A"/>
    <w:rsid w:val="00511C37"/>
    <w:rsid w:val="00512AAC"/>
    <w:rsid w:val="00514726"/>
    <w:rsid w:val="00514C62"/>
    <w:rsid w:val="0051538A"/>
    <w:rsid w:val="0051546E"/>
    <w:rsid w:val="005167A6"/>
    <w:rsid w:val="005171A2"/>
    <w:rsid w:val="00520049"/>
    <w:rsid w:val="00520F47"/>
    <w:rsid w:val="0052112F"/>
    <w:rsid w:val="00521E33"/>
    <w:rsid w:val="005234C6"/>
    <w:rsid w:val="00523D05"/>
    <w:rsid w:val="00524398"/>
    <w:rsid w:val="00524A4E"/>
    <w:rsid w:val="0052501F"/>
    <w:rsid w:val="005266C5"/>
    <w:rsid w:val="00526BDB"/>
    <w:rsid w:val="00526EFA"/>
    <w:rsid w:val="00530CDC"/>
    <w:rsid w:val="0053127F"/>
    <w:rsid w:val="00531F28"/>
    <w:rsid w:val="005320E5"/>
    <w:rsid w:val="0053339E"/>
    <w:rsid w:val="00533404"/>
    <w:rsid w:val="00535A12"/>
    <w:rsid w:val="00536AD6"/>
    <w:rsid w:val="00536D6B"/>
    <w:rsid w:val="00537E48"/>
    <w:rsid w:val="00541346"/>
    <w:rsid w:val="00541E9E"/>
    <w:rsid w:val="00543670"/>
    <w:rsid w:val="005440C7"/>
    <w:rsid w:val="00544DE5"/>
    <w:rsid w:val="0054593A"/>
    <w:rsid w:val="00545AC2"/>
    <w:rsid w:val="00545E12"/>
    <w:rsid w:val="00547A5E"/>
    <w:rsid w:val="00551EEA"/>
    <w:rsid w:val="00553C9E"/>
    <w:rsid w:val="005549B9"/>
    <w:rsid w:val="0055567E"/>
    <w:rsid w:val="00556BC0"/>
    <w:rsid w:val="00556F91"/>
    <w:rsid w:val="00557B5F"/>
    <w:rsid w:val="00557CC0"/>
    <w:rsid w:val="005607A1"/>
    <w:rsid w:val="00560E21"/>
    <w:rsid w:val="00561637"/>
    <w:rsid w:val="00561895"/>
    <w:rsid w:val="005618EA"/>
    <w:rsid w:val="00562793"/>
    <w:rsid w:val="005629C8"/>
    <w:rsid w:val="00562CEE"/>
    <w:rsid w:val="00563381"/>
    <w:rsid w:val="00563CDA"/>
    <w:rsid w:val="00565E8E"/>
    <w:rsid w:val="00566686"/>
    <w:rsid w:val="0056784F"/>
    <w:rsid w:val="0057014E"/>
    <w:rsid w:val="005708A8"/>
    <w:rsid w:val="00571EE9"/>
    <w:rsid w:val="00572C1F"/>
    <w:rsid w:val="005733EA"/>
    <w:rsid w:val="00573453"/>
    <w:rsid w:val="00574C13"/>
    <w:rsid w:val="005751F8"/>
    <w:rsid w:val="00575834"/>
    <w:rsid w:val="00576D07"/>
    <w:rsid w:val="00577CFF"/>
    <w:rsid w:val="005808C4"/>
    <w:rsid w:val="00581309"/>
    <w:rsid w:val="00581A75"/>
    <w:rsid w:val="00583165"/>
    <w:rsid w:val="00583B00"/>
    <w:rsid w:val="0058481E"/>
    <w:rsid w:val="00585237"/>
    <w:rsid w:val="005858F4"/>
    <w:rsid w:val="00585F79"/>
    <w:rsid w:val="00587C88"/>
    <w:rsid w:val="00590C2B"/>
    <w:rsid w:val="00591D4A"/>
    <w:rsid w:val="00591DA8"/>
    <w:rsid w:val="005931F6"/>
    <w:rsid w:val="005945E3"/>
    <w:rsid w:val="005A1289"/>
    <w:rsid w:val="005A1667"/>
    <w:rsid w:val="005A28B7"/>
    <w:rsid w:val="005A32E6"/>
    <w:rsid w:val="005A4239"/>
    <w:rsid w:val="005A4973"/>
    <w:rsid w:val="005A4BFA"/>
    <w:rsid w:val="005A52F7"/>
    <w:rsid w:val="005A5DB0"/>
    <w:rsid w:val="005A63B7"/>
    <w:rsid w:val="005A798F"/>
    <w:rsid w:val="005A7BC0"/>
    <w:rsid w:val="005B1305"/>
    <w:rsid w:val="005B2292"/>
    <w:rsid w:val="005B23DC"/>
    <w:rsid w:val="005B2986"/>
    <w:rsid w:val="005B38B6"/>
    <w:rsid w:val="005B552C"/>
    <w:rsid w:val="005B5CE1"/>
    <w:rsid w:val="005B5D7A"/>
    <w:rsid w:val="005B5F7D"/>
    <w:rsid w:val="005B6C7B"/>
    <w:rsid w:val="005B70AD"/>
    <w:rsid w:val="005B71AF"/>
    <w:rsid w:val="005C0519"/>
    <w:rsid w:val="005C1006"/>
    <w:rsid w:val="005C1B35"/>
    <w:rsid w:val="005C1B57"/>
    <w:rsid w:val="005C315B"/>
    <w:rsid w:val="005C333E"/>
    <w:rsid w:val="005C33B3"/>
    <w:rsid w:val="005C405E"/>
    <w:rsid w:val="005C51F9"/>
    <w:rsid w:val="005C53D4"/>
    <w:rsid w:val="005C5C61"/>
    <w:rsid w:val="005C6D0C"/>
    <w:rsid w:val="005C74CD"/>
    <w:rsid w:val="005C7DE8"/>
    <w:rsid w:val="005D0BA9"/>
    <w:rsid w:val="005D158C"/>
    <w:rsid w:val="005D1810"/>
    <w:rsid w:val="005D27A3"/>
    <w:rsid w:val="005D3033"/>
    <w:rsid w:val="005D30D3"/>
    <w:rsid w:val="005D3BB8"/>
    <w:rsid w:val="005D7A7F"/>
    <w:rsid w:val="005E0559"/>
    <w:rsid w:val="005E068C"/>
    <w:rsid w:val="005E089F"/>
    <w:rsid w:val="005E1297"/>
    <w:rsid w:val="005E1780"/>
    <w:rsid w:val="005E1B9B"/>
    <w:rsid w:val="005E1D8E"/>
    <w:rsid w:val="005E37D5"/>
    <w:rsid w:val="005E4528"/>
    <w:rsid w:val="005E45E9"/>
    <w:rsid w:val="005E5366"/>
    <w:rsid w:val="005E5DF8"/>
    <w:rsid w:val="005F0359"/>
    <w:rsid w:val="005F0959"/>
    <w:rsid w:val="005F17A0"/>
    <w:rsid w:val="005F1AFA"/>
    <w:rsid w:val="005F226A"/>
    <w:rsid w:val="005F2CFA"/>
    <w:rsid w:val="005F2D17"/>
    <w:rsid w:val="005F2F7D"/>
    <w:rsid w:val="005F4855"/>
    <w:rsid w:val="005F664B"/>
    <w:rsid w:val="005F678B"/>
    <w:rsid w:val="00601DF7"/>
    <w:rsid w:val="006028D1"/>
    <w:rsid w:val="00603185"/>
    <w:rsid w:val="006033C6"/>
    <w:rsid w:val="00604CA2"/>
    <w:rsid w:val="0060586C"/>
    <w:rsid w:val="0061195D"/>
    <w:rsid w:val="0061293E"/>
    <w:rsid w:val="00612F7D"/>
    <w:rsid w:val="006139A0"/>
    <w:rsid w:val="00613D07"/>
    <w:rsid w:val="0061597E"/>
    <w:rsid w:val="006162EF"/>
    <w:rsid w:val="00617439"/>
    <w:rsid w:val="00617752"/>
    <w:rsid w:val="00617770"/>
    <w:rsid w:val="00617EC6"/>
    <w:rsid w:val="006207E9"/>
    <w:rsid w:val="00621402"/>
    <w:rsid w:val="006228EC"/>
    <w:rsid w:val="006231B5"/>
    <w:rsid w:val="006246CB"/>
    <w:rsid w:val="00624AED"/>
    <w:rsid w:val="0062604B"/>
    <w:rsid w:val="006260D8"/>
    <w:rsid w:val="006268BB"/>
    <w:rsid w:val="00626C9D"/>
    <w:rsid w:val="0062789F"/>
    <w:rsid w:val="00630A67"/>
    <w:rsid w:val="00630E7B"/>
    <w:rsid w:val="006310B8"/>
    <w:rsid w:val="00631AEF"/>
    <w:rsid w:val="00632812"/>
    <w:rsid w:val="00632C0A"/>
    <w:rsid w:val="006335AF"/>
    <w:rsid w:val="006338C7"/>
    <w:rsid w:val="006346B3"/>
    <w:rsid w:val="00634CCE"/>
    <w:rsid w:val="006351CF"/>
    <w:rsid w:val="006352DA"/>
    <w:rsid w:val="00635643"/>
    <w:rsid w:val="00635C0B"/>
    <w:rsid w:val="00635EDE"/>
    <w:rsid w:val="006364D8"/>
    <w:rsid w:val="006373AA"/>
    <w:rsid w:val="00637CEE"/>
    <w:rsid w:val="00637FF4"/>
    <w:rsid w:val="0064082D"/>
    <w:rsid w:val="00640C70"/>
    <w:rsid w:val="006419BA"/>
    <w:rsid w:val="0064296C"/>
    <w:rsid w:val="00642B4C"/>
    <w:rsid w:val="00642B93"/>
    <w:rsid w:val="00642E56"/>
    <w:rsid w:val="00643BBD"/>
    <w:rsid w:val="00643D7D"/>
    <w:rsid w:val="00645298"/>
    <w:rsid w:val="00645C15"/>
    <w:rsid w:val="00652934"/>
    <w:rsid w:val="00652A7E"/>
    <w:rsid w:val="00653177"/>
    <w:rsid w:val="00655DF4"/>
    <w:rsid w:val="006563C2"/>
    <w:rsid w:val="006571C0"/>
    <w:rsid w:val="00661C25"/>
    <w:rsid w:val="0066380C"/>
    <w:rsid w:val="00663D8A"/>
    <w:rsid w:val="006649B3"/>
    <w:rsid w:val="00665515"/>
    <w:rsid w:val="00666C3E"/>
    <w:rsid w:val="00666EF5"/>
    <w:rsid w:val="00670091"/>
    <w:rsid w:val="006725E3"/>
    <w:rsid w:val="00672F7D"/>
    <w:rsid w:val="00673CF4"/>
    <w:rsid w:val="00673D01"/>
    <w:rsid w:val="00673ED7"/>
    <w:rsid w:val="006759C1"/>
    <w:rsid w:val="00675C06"/>
    <w:rsid w:val="00675C33"/>
    <w:rsid w:val="00676311"/>
    <w:rsid w:val="0067682B"/>
    <w:rsid w:val="00676E80"/>
    <w:rsid w:val="00677628"/>
    <w:rsid w:val="006800CE"/>
    <w:rsid w:val="006818CE"/>
    <w:rsid w:val="00682407"/>
    <w:rsid w:val="006831D1"/>
    <w:rsid w:val="006833F1"/>
    <w:rsid w:val="00686818"/>
    <w:rsid w:val="00687636"/>
    <w:rsid w:val="00687E2E"/>
    <w:rsid w:val="00687E6C"/>
    <w:rsid w:val="006915C9"/>
    <w:rsid w:val="00691BBF"/>
    <w:rsid w:val="00691C14"/>
    <w:rsid w:val="0069485D"/>
    <w:rsid w:val="0069558B"/>
    <w:rsid w:val="006964C6"/>
    <w:rsid w:val="0069654D"/>
    <w:rsid w:val="006967E8"/>
    <w:rsid w:val="006967FA"/>
    <w:rsid w:val="006A0090"/>
    <w:rsid w:val="006A0521"/>
    <w:rsid w:val="006A1525"/>
    <w:rsid w:val="006A1A5A"/>
    <w:rsid w:val="006A5CB0"/>
    <w:rsid w:val="006A6A5E"/>
    <w:rsid w:val="006A7308"/>
    <w:rsid w:val="006A7771"/>
    <w:rsid w:val="006B0409"/>
    <w:rsid w:val="006B064B"/>
    <w:rsid w:val="006B0738"/>
    <w:rsid w:val="006B110C"/>
    <w:rsid w:val="006B1871"/>
    <w:rsid w:val="006B1EB8"/>
    <w:rsid w:val="006B63C0"/>
    <w:rsid w:val="006B771D"/>
    <w:rsid w:val="006C07BC"/>
    <w:rsid w:val="006C0863"/>
    <w:rsid w:val="006C11DB"/>
    <w:rsid w:val="006C14B3"/>
    <w:rsid w:val="006C268C"/>
    <w:rsid w:val="006C40E1"/>
    <w:rsid w:val="006C4324"/>
    <w:rsid w:val="006C45C7"/>
    <w:rsid w:val="006C474D"/>
    <w:rsid w:val="006C4ADF"/>
    <w:rsid w:val="006C4C5C"/>
    <w:rsid w:val="006C535C"/>
    <w:rsid w:val="006C5D6D"/>
    <w:rsid w:val="006C65E3"/>
    <w:rsid w:val="006C6B37"/>
    <w:rsid w:val="006C77B1"/>
    <w:rsid w:val="006C78C3"/>
    <w:rsid w:val="006D032C"/>
    <w:rsid w:val="006D0B31"/>
    <w:rsid w:val="006D0D4B"/>
    <w:rsid w:val="006D18A4"/>
    <w:rsid w:val="006D720D"/>
    <w:rsid w:val="006D74AF"/>
    <w:rsid w:val="006D75A7"/>
    <w:rsid w:val="006E1B83"/>
    <w:rsid w:val="006E2231"/>
    <w:rsid w:val="006E3082"/>
    <w:rsid w:val="006E3EFA"/>
    <w:rsid w:val="006E50EC"/>
    <w:rsid w:val="006E57BF"/>
    <w:rsid w:val="006E5F7F"/>
    <w:rsid w:val="006E7FF0"/>
    <w:rsid w:val="006F026D"/>
    <w:rsid w:val="006F17A9"/>
    <w:rsid w:val="006F18F0"/>
    <w:rsid w:val="006F197E"/>
    <w:rsid w:val="006F1C9F"/>
    <w:rsid w:val="006F22F0"/>
    <w:rsid w:val="006F2542"/>
    <w:rsid w:val="006F6197"/>
    <w:rsid w:val="006F6ACB"/>
    <w:rsid w:val="006F713E"/>
    <w:rsid w:val="006F7791"/>
    <w:rsid w:val="006F7CCF"/>
    <w:rsid w:val="0070028F"/>
    <w:rsid w:val="00701995"/>
    <w:rsid w:val="00701C17"/>
    <w:rsid w:val="00702474"/>
    <w:rsid w:val="007027C5"/>
    <w:rsid w:val="00702CF6"/>
    <w:rsid w:val="00702D04"/>
    <w:rsid w:val="00703409"/>
    <w:rsid w:val="00703B13"/>
    <w:rsid w:val="00705904"/>
    <w:rsid w:val="00705949"/>
    <w:rsid w:val="00705E32"/>
    <w:rsid w:val="00706AFF"/>
    <w:rsid w:val="00707CC5"/>
    <w:rsid w:val="00710064"/>
    <w:rsid w:val="00710551"/>
    <w:rsid w:val="0071087F"/>
    <w:rsid w:val="00711B10"/>
    <w:rsid w:val="00712916"/>
    <w:rsid w:val="007138E3"/>
    <w:rsid w:val="00713F74"/>
    <w:rsid w:val="007149AB"/>
    <w:rsid w:val="00715048"/>
    <w:rsid w:val="00715193"/>
    <w:rsid w:val="0071606F"/>
    <w:rsid w:val="00716DC2"/>
    <w:rsid w:val="00716DE5"/>
    <w:rsid w:val="00717083"/>
    <w:rsid w:val="007177A7"/>
    <w:rsid w:val="00717920"/>
    <w:rsid w:val="0072090C"/>
    <w:rsid w:val="00720EBD"/>
    <w:rsid w:val="0072208D"/>
    <w:rsid w:val="00722303"/>
    <w:rsid w:val="00723543"/>
    <w:rsid w:val="00723BB7"/>
    <w:rsid w:val="00723EC3"/>
    <w:rsid w:val="007245F2"/>
    <w:rsid w:val="00724B21"/>
    <w:rsid w:val="00724EFF"/>
    <w:rsid w:val="00725309"/>
    <w:rsid w:val="00725FFD"/>
    <w:rsid w:val="0072683A"/>
    <w:rsid w:val="00726D55"/>
    <w:rsid w:val="00726E9E"/>
    <w:rsid w:val="007301D7"/>
    <w:rsid w:val="007308E4"/>
    <w:rsid w:val="00730A31"/>
    <w:rsid w:val="00731112"/>
    <w:rsid w:val="007320E2"/>
    <w:rsid w:val="00732366"/>
    <w:rsid w:val="00732634"/>
    <w:rsid w:val="0073279F"/>
    <w:rsid w:val="00732F29"/>
    <w:rsid w:val="00733EF5"/>
    <w:rsid w:val="0073482E"/>
    <w:rsid w:val="00734EF3"/>
    <w:rsid w:val="00736727"/>
    <w:rsid w:val="00736A5B"/>
    <w:rsid w:val="0074062B"/>
    <w:rsid w:val="00740D8F"/>
    <w:rsid w:val="00740DFC"/>
    <w:rsid w:val="00742143"/>
    <w:rsid w:val="0074240D"/>
    <w:rsid w:val="00742E8E"/>
    <w:rsid w:val="00743A4B"/>
    <w:rsid w:val="00743AF8"/>
    <w:rsid w:val="0074472B"/>
    <w:rsid w:val="007461A5"/>
    <w:rsid w:val="007478ED"/>
    <w:rsid w:val="00751AAA"/>
    <w:rsid w:val="00752A45"/>
    <w:rsid w:val="00752B4D"/>
    <w:rsid w:val="00754162"/>
    <w:rsid w:val="007605A1"/>
    <w:rsid w:val="007621F0"/>
    <w:rsid w:val="0076261D"/>
    <w:rsid w:val="00762634"/>
    <w:rsid w:val="0076265B"/>
    <w:rsid w:val="00763028"/>
    <w:rsid w:val="00763365"/>
    <w:rsid w:val="00764665"/>
    <w:rsid w:val="00764CFD"/>
    <w:rsid w:val="00764E6E"/>
    <w:rsid w:val="00767E8B"/>
    <w:rsid w:val="00767F99"/>
    <w:rsid w:val="00770186"/>
    <w:rsid w:val="00770597"/>
    <w:rsid w:val="00770636"/>
    <w:rsid w:val="00770D7C"/>
    <w:rsid w:val="007711E7"/>
    <w:rsid w:val="00771E2D"/>
    <w:rsid w:val="00771EAA"/>
    <w:rsid w:val="0077223C"/>
    <w:rsid w:val="00773E48"/>
    <w:rsid w:val="0077474C"/>
    <w:rsid w:val="00774E10"/>
    <w:rsid w:val="0077570E"/>
    <w:rsid w:val="00775AA3"/>
    <w:rsid w:val="007762B7"/>
    <w:rsid w:val="00776A16"/>
    <w:rsid w:val="00776BD9"/>
    <w:rsid w:val="0077716E"/>
    <w:rsid w:val="007775F6"/>
    <w:rsid w:val="007776D2"/>
    <w:rsid w:val="0078003E"/>
    <w:rsid w:val="0078048D"/>
    <w:rsid w:val="00780A8B"/>
    <w:rsid w:val="00780C0D"/>
    <w:rsid w:val="00782186"/>
    <w:rsid w:val="00791462"/>
    <w:rsid w:val="00791617"/>
    <w:rsid w:val="007925F5"/>
    <w:rsid w:val="007927E8"/>
    <w:rsid w:val="00793964"/>
    <w:rsid w:val="00794BD7"/>
    <w:rsid w:val="00795291"/>
    <w:rsid w:val="0079557B"/>
    <w:rsid w:val="0079565E"/>
    <w:rsid w:val="0079601B"/>
    <w:rsid w:val="00796636"/>
    <w:rsid w:val="007966FC"/>
    <w:rsid w:val="00796E7D"/>
    <w:rsid w:val="00797A04"/>
    <w:rsid w:val="00797B94"/>
    <w:rsid w:val="00797C56"/>
    <w:rsid w:val="007A053D"/>
    <w:rsid w:val="007A19F4"/>
    <w:rsid w:val="007A1B1F"/>
    <w:rsid w:val="007A1F52"/>
    <w:rsid w:val="007A1F84"/>
    <w:rsid w:val="007A25B7"/>
    <w:rsid w:val="007A51A0"/>
    <w:rsid w:val="007A6CAD"/>
    <w:rsid w:val="007A7E81"/>
    <w:rsid w:val="007B0A85"/>
    <w:rsid w:val="007B2C36"/>
    <w:rsid w:val="007B313B"/>
    <w:rsid w:val="007B41AF"/>
    <w:rsid w:val="007B43F5"/>
    <w:rsid w:val="007B4FA5"/>
    <w:rsid w:val="007B56B0"/>
    <w:rsid w:val="007B7CE4"/>
    <w:rsid w:val="007C05B8"/>
    <w:rsid w:val="007C08F7"/>
    <w:rsid w:val="007C15A8"/>
    <w:rsid w:val="007C1C13"/>
    <w:rsid w:val="007C1C26"/>
    <w:rsid w:val="007C23EE"/>
    <w:rsid w:val="007C4312"/>
    <w:rsid w:val="007C5406"/>
    <w:rsid w:val="007C569B"/>
    <w:rsid w:val="007C5774"/>
    <w:rsid w:val="007C5B66"/>
    <w:rsid w:val="007C649E"/>
    <w:rsid w:val="007C7309"/>
    <w:rsid w:val="007C7B4B"/>
    <w:rsid w:val="007D210D"/>
    <w:rsid w:val="007D2896"/>
    <w:rsid w:val="007D5461"/>
    <w:rsid w:val="007D5ECC"/>
    <w:rsid w:val="007D632A"/>
    <w:rsid w:val="007D77E9"/>
    <w:rsid w:val="007D7BE0"/>
    <w:rsid w:val="007E1107"/>
    <w:rsid w:val="007E1AF7"/>
    <w:rsid w:val="007E1F66"/>
    <w:rsid w:val="007E277F"/>
    <w:rsid w:val="007E3B7B"/>
    <w:rsid w:val="007E4568"/>
    <w:rsid w:val="007E45E6"/>
    <w:rsid w:val="007E52FC"/>
    <w:rsid w:val="007E5FE6"/>
    <w:rsid w:val="007E73F2"/>
    <w:rsid w:val="007E756C"/>
    <w:rsid w:val="007E77A7"/>
    <w:rsid w:val="007E7902"/>
    <w:rsid w:val="007F0B83"/>
    <w:rsid w:val="007F1CFC"/>
    <w:rsid w:val="007F23A7"/>
    <w:rsid w:val="007F39EC"/>
    <w:rsid w:val="007F4511"/>
    <w:rsid w:val="007F4559"/>
    <w:rsid w:val="007F462B"/>
    <w:rsid w:val="007F466F"/>
    <w:rsid w:val="007F4747"/>
    <w:rsid w:val="007F4DBE"/>
    <w:rsid w:val="007F6B8D"/>
    <w:rsid w:val="007F6CE6"/>
    <w:rsid w:val="00800A26"/>
    <w:rsid w:val="00802E46"/>
    <w:rsid w:val="00803874"/>
    <w:rsid w:val="00804AFC"/>
    <w:rsid w:val="00805484"/>
    <w:rsid w:val="008054E7"/>
    <w:rsid w:val="008057F1"/>
    <w:rsid w:val="0080723D"/>
    <w:rsid w:val="008075E7"/>
    <w:rsid w:val="00807FF2"/>
    <w:rsid w:val="008102BD"/>
    <w:rsid w:val="00810A1E"/>
    <w:rsid w:val="00810CB5"/>
    <w:rsid w:val="00810D72"/>
    <w:rsid w:val="00811D01"/>
    <w:rsid w:val="00812DC6"/>
    <w:rsid w:val="00813A2B"/>
    <w:rsid w:val="00814D0F"/>
    <w:rsid w:val="0081510B"/>
    <w:rsid w:val="008155C8"/>
    <w:rsid w:val="008161EE"/>
    <w:rsid w:val="008164E3"/>
    <w:rsid w:val="00816C37"/>
    <w:rsid w:val="00817A9A"/>
    <w:rsid w:val="00817D36"/>
    <w:rsid w:val="00820DF5"/>
    <w:rsid w:val="008211F6"/>
    <w:rsid w:val="00821B82"/>
    <w:rsid w:val="0082236F"/>
    <w:rsid w:val="008238CA"/>
    <w:rsid w:val="008238FA"/>
    <w:rsid w:val="00824886"/>
    <w:rsid w:val="00826E6D"/>
    <w:rsid w:val="00827147"/>
    <w:rsid w:val="008273B3"/>
    <w:rsid w:val="00830AF6"/>
    <w:rsid w:val="00831BE2"/>
    <w:rsid w:val="00832573"/>
    <w:rsid w:val="008325AB"/>
    <w:rsid w:val="008325AC"/>
    <w:rsid w:val="00832C49"/>
    <w:rsid w:val="00833617"/>
    <w:rsid w:val="00833CE4"/>
    <w:rsid w:val="00835286"/>
    <w:rsid w:val="00835536"/>
    <w:rsid w:val="0083574D"/>
    <w:rsid w:val="0083638A"/>
    <w:rsid w:val="00836718"/>
    <w:rsid w:val="00837A89"/>
    <w:rsid w:val="00837B98"/>
    <w:rsid w:val="0084120B"/>
    <w:rsid w:val="0084122A"/>
    <w:rsid w:val="00844F91"/>
    <w:rsid w:val="00846815"/>
    <w:rsid w:val="008524F3"/>
    <w:rsid w:val="008545EC"/>
    <w:rsid w:val="00855450"/>
    <w:rsid w:val="008562BB"/>
    <w:rsid w:val="00856876"/>
    <w:rsid w:val="00856FCF"/>
    <w:rsid w:val="00857240"/>
    <w:rsid w:val="00860DCF"/>
    <w:rsid w:val="0086159C"/>
    <w:rsid w:val="00863A7A"/>
    <w:rsid w:val="008643E8"/>
    <w:rsid w:val="00865BD6"/>
    <w:rsid w:val="00865ED5"/>
    <w:rsid w:val="00867581"/>
    <w:rsid w:val="00870DB0"/>
    <w:rsid w:val="008711B7"/>
    <w:rsid w:val="00871746"/>
    <w:rsid w:val="00872B09"/>
    <w:rsid w:val="00872F6C"/>
    <w:rsid w:val="00873C8C"/>
    <w:rsid w:val="00874AF8"/>
    <w:rsid w:val="008751CC"/>
    <w:rsid w:val="008757BE"/>
    <w:rsid w:val="00876BA0"/>
    <w:rsid w:val="008770B7"/>
    <w:rsid w:val="00877927"/>
    <w:rsid w:val="00877C16"/>
    <w:rsid w:val="00877EC5"/>
    <w:rsid w:val="00880340"/>
    <w:rsid w:val="00880939"/>
    <w:rsid w:val="0088099A"/>
    <w:rsid w:val="0088253D"/>
    <w:rsid w:val="008828C1"/>
    <w:rsid w:val="00883991"/>
    <w:rsid w:val="00883AF6"/>
    <w:rsid w:val="008850C7"/>
    <w:rsid w:val="00885222"/>
    <w:rsid w:val="008852D8"/>
    <w:rsid w:val="0088531C"/>
    <w:rsid w:val="00886328"/>
    <w:rsid w:val="0088647C"/>
    <w:rsid w:val="00886EF6"/>
    <w:rsid w:val="00887023"/>
    <w:rsid w:val="0088710E"/>
    <w:rsid w:val="00887471"/>
    <w:rsid w:val="00890041"/>
    <w:rsid w:val="00890DB9"/>
    <w:rsid w:val="00890F95"/>
    <w:rsid w:val="00891200"/>
    <w:rsid w:val="00891FA0"/>
    <w:rsid w:val="008929F1"/>
    <w:rsid w:val="008929F5"/>
    <w:rsid w:val="0089318A"/>
    <w:rsid w:val="0089330F"/>
    <w:rsid w:val="00893441"/>
    <w:rsid w:val="00893737"/>
    <w:rsid w:val="00893887"/>
    <w:rsid w:val="00893934"/>
    <w:rsid w:val="008945BB"/>
    <w:rsid w:val="00897DDF"/>
    <w:rsid w:val="008A06DA"/>
    <w:rsid w:val="008A27AC"/>
    <w:rsid w:val="008A298A"/>
    <w:rsid w:val="008A3FBD"/>
    <w:rsid w:val="008A643D"/>
    <w:rsid w:val="008A67FE"/>
    <w:rsid w:val="008A70E0"/>
    <w:rsid w:val="008B001E"/>
    <w:rsid w:val="008B01AB"/>
    <w:rsid w:val="008B214D"/>
    <w:rsid w:val="008B390C"/>
    <w:rsid w:val="008B3C3B"/>
    <w:rsid w:val="008B40C9"/>
    <w:rsid w:val="008B4782"/>
    <w:rsid w:val="008B481E"/>
    <w:rsid w:val="008B50DD"/>
    <w:rsid w:val="008B62C1"/>
    <w:rsid w:val="008B6567"/>
    <w:rsid w:val="008C081D"/>
    <w:rsid w:val="008C0EFC"/>
    <w:rsid w:val="008C15C5"/>
    <w:rsid w:val="008C2B09"/>
    <w:rsid w:val="008C2C16"/>
    <w:rsid w:val="008C40C2"/>
    <w:rsid w:val="008C528B"/>
    <w:rsid w:val="008C656C"/>
    <w:rsid w:val="008C685C"/>
    <w:rsid w:val="008D05EF"/>
    <w:rsid w:val="008D0F40"/>
    <w:rsid w:val="008D1066"/>
    <w:rsid w:val="008D12A1"/>
    <w:rsid w:val="008D131F"/>
    <w:rsid w:val="008D1796"/>
    <w:rsid w:val="008D25CA"/>
    <w:rsid w:val="008D35BE"/>
    <w:rsid w:val="008D423F"/>
    <w:rsid w:val="008D4883"/>
    <w:rsid w:val="008D54B4"/>
    <w:rsid w:val="008D638A"/>
    <w:rsid w:val="008D78BF"/>
    <w:rsid w:val="008D7D84"/>
    <w:rsid w:val="008E0437"/>
    <w:rsid w:val="008E090D"/>
    <w:rsid w:val="008E0994"/>
    <w:rsid w:val="008E0AA1"/>
    <w:rsid w:val="008E0E5D"/>
    <w:rsid w:val="008E109C"/>
    <w:rsid w:val="008E13F7"/>
    <w:rsid w:val="008E2D82"/>
    <w:rsid w:val="008E3BDA"/>
    <w:rsid w:val="008E3DB0"/>
    <w:rsid w:val="008E42C1"/>
    <w:rsid w:val="008E4B15"/>
    <w:rsid w:val="008E617A"/>
    <w:rsid w:val="008E62D0"/>
    <w:rsid w:val="008E7E3B"/>
    <w:rsid w:val="008F2C39"/>
    <w:rsid w:val="008F2FE5"/>
    <w:rsid w:val="008F3339"/>
    <w:rsid w:val="008F3936"/>
    <w:rsid w:val="008F3956"/>
    <w:rsid w:val="008F4CCB"/>
    <w:rsid w:val="008F4D36"/>
    <w:rsid w:val="008F68C2"/>
    <w:rsid w:val="008F693E"/>
    <w:rsid w:val="008F7895"/>
    <w:rsid w:val="00900F74"/>
    <w:rsid w:val="009037AD"/>
    <w:rsid w:val="00903FCE"/>
    <w:rsid w:val="009056A0"/>
    <w:rsid w:val="0090614B"/>
    <w:rsid w:val="009107DE"/>
    <w:rsid w:val="00913832"/>
    <w:rsid w:val="009148F3"/>
    <w:rsid w:val="00914FC2"/>
    <w:rsid w:val="00915344"/>
    <w:rsid w:val="0091537A"/>
    <w:rsid w:val="00915EDC"/>
    <w:rsid w:val="00916422"/>
    <w:rsid w:val="009168CC"/>
    <w:rsid w:val="00916900"/>
    <w:rsid w:val="00917406"/>
    <w:rsid w:val="009216E8"/>
    <w:rsid w:val="00921A98"/>
    <w:rsid w:val="00921C73"/>
    <w:rsid w:val="0092382C"/>
    <w:rsid w:val="00923BE1"/>
    <w:rsid w:val="009244BC"/>
    <w:rsid w:val="00925664"/>
    <w:rsid w:val="00925BE8"/>
    <w:rsid w:val="00925E24"/>
    <w:rsid w:val="00925FDD"/>
    <w:rsid w:val="00927A28"/>
    <w:rsid w:val="00927EEF"/>
    <w:rsid w:val="009301D5"/>
    <w:rsid w:val="00930530"/>
    <w:rsid w:val="00930A4D"/>
    <w:rsid w:val="00930B4C"/>
    <w:rsid w:val="00931C40"/>
    <w:rsid w:val="009325F7"/>
    <w:rsid w:val="0093290B"/>
    <w:rsid w:val="00935109"/>
    <w:rsid w:val="009355BB"/>
    <w:rsid w:val="00935AAC"/>
    <w:rsid w:val="009365DF"/>
    <w:rsid w:val="00936830"/>
    <w:rsid w:val="00936990"/>
    <w:rsid w:val="00936C54"/>
    <w:rsid w:val="009372E1"/>
    <w:rsid w:val="00937DED"/>
    <w:rsid w:val="00940123"/>
    <w:rsid w:val="00941030"/>
    <w:rsid w:val="0094119D"/>
    <w:rsid w:val="00942653"/>
    <w:rsid w:val="0094295E"/>
    <w:rsid w:val="00944943"/>
    <w:rsid w:val="00945134"/>
    <w:rsid w:val="00945173"/>
    <w:rsid w:val="009451E4"/>
    <w:rsid w:val="00945314"/>
    <w:rsid w:val="00945E17"/>
    <w:rsid w:val="00947265"/>
    <w:rsid w:val="00947EC2"/>
    <w:rsid w:val="00950683"/>
    <w:rsid w:val="00951C2F"/>
    <w:rsid w:val="00952B99"/>
    <w:rsid w:val="00952E40"/>
    <w:rsid w:val="009537BE"/>
    <w:rsid w:val="00953F63"/>
    <w:rsid w:val="00954394"/>
    <w:rsid w:val="0095506C"/>
    <w:rsid w:val="00955B0E"/>
    <w:rsid w:val="009570FD"/>
    <w:rsid w:val="0096046F"/>
    <w:rsid w:val="009607B1"/>
    <w:rsid w:val="00961536"/>
    <w:rsid w:val="00961E3B"/>
    <w:rsid w:val="009622CD"/>
    <w:rsid w:val="00963ACE"/>
    <w:rsid w:val="0096451B"/>
    <w:rsid w:val="00964BC0"/>
    <w:rsid w:val="009656C0"/>
    <w:rsid w:val="009659FF"/>
    <w:rsid w:val="00965BAA"/>
    <w:rsid w:val="00965FBC"/>
    <w:rsid w:val="00966857"/>
    <w:rsid w:val="0096721C"/>
    <w:rsid w:val="00967F38"/>
    <w:rsid w:val="00970A2E"/>
    <w:rsid w:val="00972599"/>
    <w:rsid w:val="00972CE1"/>
    <w:rsid w:val="00972D5B"/>
    <w:rsid w:val="0097418A"/>
    <w:rsid w:val="00975C8C"/>
    <w:rsid w:val="0097642F"/>
    <w:rsid w:val="0097689C"/>
    <w:rsid w:val="00976BBF"/>
    <w:rsid w:val="00976C49"/>
    <w:rsid w:val="009773F5"/>
    <w:rsid w:val="00977763"/>
    <w:rsid w:val="00980936"/>
    <w:rsid w:val="00980AB8"/>
    <w:rsid w:val="00981D75"/>
    <w:rsid w:val="009825DE"/>
    <w:rsid w:val="00982AB4"/>
    <w:rsid w:val="0098310F"/>
    <w:rsid w:val="00983386"/>
    <w:rsid w:val="00983B4A"/>
    <w:rsid w:val="00984068"/>
    <w:rsid w:val="009845D0"/>
    <w:rsid w:val="009848E9"/>
    <w:rsid w:val="00984D45"/>
    <w:rsid w:val="009850A1"/>
    <w:rsid w:val="009868E5"/>
    <w:rsid w:val="00987613"/>
    <w:rsid w:val="009900E3"/>
    <w:rsid w:val="009910C0"/>
    <w:rsid w:val="00991123"/>
    <w:rsid w:val="00991179"/>
    <w:rsid w:val="00991C1C"/>
    <w:rsid w:val="0099408D"/>
    <w:rsid w:val="00994EF1"/>
    <w:rsid w:val="0099783D"/>
    <w:rsid w:val="00997A2A"/>
    <w:rsid w:val="009A1B74"/>
    <w:rsid w:val="009A4D4E"/>
    <w:rsid w:val="009A57BF"/>
    <w:rsid w:val="009A5E35"/>
    <w:rsid w:val="009A61BE"/>
    <w:rsid w:val="009A6B79"/>
    <w:rsid w:val="009A6F0D"/>
    <w:rsid w:val="009A7F5F"/>
    <w:rsid w:val="009B0CAC"/>
    <w:rsid w:val="009B16AD"/>
    <w:rsid w:val="009B2241"/>
    <w:rsid w:val="009B2736"/>
    <w:rsid w:val="009B381C"/>
    <w:rsid w:val="009B3B42"/>
    <w:rsid w:val="009B4B78"/>
    <w:rsid w:val="009B4EB1"/>
    <w:rsid w:val="009B68A7"/>
    <w:rsid w:val="009B7105"/>
    <w:rsid w:val="009C07A6"/>
    <w:rsid w:val="009C098E"/>
    <w:rsid w:val="009C2F62"/>
    <w:rsid w:val="009C34F0"/>
    <w:rsid w:val="009C3C47"/>
    <w:rsid w:val="009C40D0"/>
    <w:rsid w:val="009C5215"/>
    <w:rsid w:val="009C578C"/>
    <w:rsid w:val="009C6CC1"/>
    <w:rsid w:val="009C7F8D"/>
    <w:rsid w:val="009D0BCD"/>
    <w:rsid w:val="009D11C1"/>
    <w:rsid w:val="009D1363"/>
    <w:rsid w:val="009D1AF5"/>
    <w:rsid w:val="009D4F60"/>
    <w:rsid w:val="009D51BB"/>
    <w:rsid w:val="009D566C"/>
    <w:rsid w:val="009D56AE"/>
    <w:rsid w:val="009D6281"/>
    <w:rsid w:val="009D6733"/>
    <w:rsid w:val="009D78BB"/>
    <w:rsid w:val="009E0CF6"/>
    <w:rsid w:val="009E0EFA"/>
    <w:rsid w:val="009E12F6"/>
    <w:rsid w:val="009E15A2"/>
    <w:rsid w:val="009E267B"/>
    <w:rsid w:val="009E283E"/>
    <w:rsid w:val="009E2B71"/>
    <w:rsid w:val="009E2D85"/>
    <w:rsid w:val="009E396E"/>
    <w:rsid w:val="009E3F0B"/>
    <w:rsid w:val="009E5310"/>
    <w:rsid w:val="009F0148"/>
    <w:rsid w:val="009F0999"/>
    <w:rsid w:val="009F0C8D"/>
    <w:rsid w:val="009F1895"/>
    <w:rsid w:val="009F3C08"/>
    <w:rsid w:val="009F3C64"/>
    <w:rsid w:val="009F4D5D"/>
    <w:rsid w:val="009F518F"/>
    <w:rsid w:val="009F6B0B"/>
    <w:rsid w:val="009F6B61"/>
    <w:rsid w:val="009F70BD"/>
    <w:rsid w:val="009F70F0"/>
    <w:rsid w:val="009F742E"/>
    <w:rsid w:val="009F7C7B"/>
    <w:rsid w:val="009F7FB6"/>
    <w:rsid w:val="00A00058"/>
    <w:rsid w:val="00A00E91"/>
    <w:rsid w:val="00A021CA"/>
    <w:rsid w:val="00A03685"/>
    <w:rsid w:val="00A03775"/>
    <w:rsid w:val="00A039F7"/>
    <w:rsid w:val="00A03BDF"/>
    <w:rsid w:val="00A05310"/>
    <w:rsid w:val="00A05974"/>
    <w:rsid w:val="00A0636A"/>
    <w:rsid w:val="00A06A75"/>
    <w:rsid w:val="00A06AE0"/>
    <w:rsid w:val="00A06DB1"/>
    <w:rsid w:val="00A07037"/>
    <w:rsid w:val="00A07440"/>
    <w:rsid w:val="00A07FE4"/>
    <w:rsid w:val="00A1055F"/>
    <w:rsid w:val="00A11D75"/>
    <w:rsid w:val="00A11DCE"/>
    <w:rsid w:val="00A128ED"/>
    <w:rsid w:val="00A129FB"/>
    <w:rsid w:val="00A12A80"/>
    <w:rsid w:val="00A13027"/>
    <w:rsid w:val="00A131CF"/>
    <w:rsid w:val="00A13501"/>
    <w:rsid w:val="00A13C04"/>
    <w:rsid w:val="00A142BA"/>
    <w:rsid w:val="00A15132"/>
    <w:rsid w:val="00A16043"/>
    <w:rsid w:val="00A16123"/>
    <w:rsid w:val="00A16AB8"/>
    <w:rsid w:val="00A1737C"/>
    <w:rsid w:val="00A17523"/>
    <w:rsid w:val="00A17F64"/>
    <w:rsid w:val="00A2053C"/>
    <w:rsid w:val="00A228A0"/>
    <w:rsid w:val="00A23936"/>
    <w:rsid w:val="00A24F4C"/>
    <w:rsid w:val="00A26D38"/>
    <w:rsid w:val="00A26FF9"/>
    <w:rsid w:val="00A270AA"/>
    <w:rsid w:val="00A27F61"/>
    <w:rsid w:val="00A31454"/>
    <w:rsid w:val="00A32262"/>
    <w:rsid w:val="00A32F87"/>
    <w:rsid w:val="00A33575"/>
    <w:rsid w:val="00A34159"/>
    <w:rsid w:val="00A347DD"/>
    <w:rsid w:val="00A36851"/>
    <w:rsid w:val="00A37A53"/>
    <w:rsid w:val="00A41074"/>
    <w:rsid w:val="00A43008"/>
    <w:rsid w:val="00A44043"/>
    <w:rsid w:val="00A4405A"/>
    <w:rsid w:val="00A46572"/>
    <w:rsid w:val="00A509B4"/>
    <w:rsid w:val="00A5182A"/>
    <w:rsid w:val="00A519F3"/>
    <w:rsid w:val="00A51D63"/>
    <w:rsid w:val="00A521AD"/>
    <w:rsid w:val="00A523B4"/>
    <w:rsid w:val="00A524D5"/>
    <w:rsid w:val="00A54C91"/>
    <w:rsid w:val="00A54E65"/>
    <w:rsid w:val="00A56A28"/>
    <w:rsid w:val="00A56DCF"/>
    <w:rsid w:val="00A57CFD"/>
    <w:rsid w:val="00A605F5"/>
    <w:rsid w:val="00A60655"/>
    <w:rsid w:val="00A60EAF"/>
    <w:rsid w:val="00A610E8"/>
    <w:rsid w:val="00A63AC3"/>
    <w:rsid w:val="00A63B80"/>
    <w:rsid w:val="00A63E7D"/>
    <w:rsid w:val="00A63F33"/>
    <w:rsid w:val="00A650FC"/>
    <w:rsid w:val="00A66555"/>
    <w:rsid w:val="00A6712E"/>
    <w:rsid w:val="00A67193"/>
    <w:rsid w:val="00A6789F"/>
    <w:rsid w:val="00A67E57"/>
    <w:rsid w:val="00A7099D"/>
    <w:rsid w:val="00A70F9B"/>
    <w:rsid w:val="00A74835"/>
    <w:rsid w:val="00A75876"/>
    <w:rsid w:val="00A75E2D"/>
    <w:rsid w:val="00A76BDB"/>
    <w:rsid w:val="00A76C93"/>
    <w:rsid w:val="00A8016D"/>
    <w:rsid w:val="00A80577"/>
    <w:rsid w:val="00A80ACC"/>
    <w:rsid w:val="00A810FD"/>
    <w:rsid w:val="00A8169D"/>
    <w:rsid w:val="00A85E91"/>
    <w:rsid w:val="00A8613B"/>
    <w:rsid w:val="00A86823"/>
    <w:rsid w:val="00A87466"/>
    <w:rsid w:val="00A87A4D"/>
    <w:rsid w:val="00A87FD2"/>
    <w:rsid w:val="00A9005A"/>
    <w:rsid w:val="00A9163D"/>
    <w:rsid w:val="00A91752"/>
    <w:rsid w:val="00AA0035"/>
    <w:rsid w:val="00AA0464"/>
    <w:rsid w:val="00AA0545"/>
    <w:rsid w:val="00AA1470"/>
    <w:rsid w:val="00AA2B13"/>
    <w:rsid w:val="00AA2F3B"/>
    <w:rsid w:val="00AA37CB"/>
    <w:rsid w:val="00AA41DC"/>
    <w:rsid w:val="00AA4333"/>
    <w:rsid w:val="00AA4341"/>
    <w:rsid w:val="00AA45F2"/>
    <w:rsid w:val="00AA67D2"/>
    <w:rsid w:val="00AA6ED6"/>
    <w:rsid w:val="00AA7BCB"/>
    <w:rsid w:val="00AB1B31"/>
    <w:rsid w:val="00AB2567"/>
    <w:rsid w:val="00AB29EB"/>
    <w:rsid w:val="00AB3F76"/>
    <w:rsid w:val="00AB4C9C"/>
    <w:rsid w:val="00AB6EBA"/>
    <w:rsid w:val="00AC0E22"/>
    <w:rsid w:val="00AC125B"/>
    <w:rsid w:val="00AC14EB"/>
    <w:rsid w:val="00AC2B5A"/>
    <w:rsid w:val="00AC3693"/>
    <w:rsid w:val="00AC3E29"/>
    <w:rsid w:val="00AC40ED"/>
    <w:rsid w:val="00AC4298"/>
    <w:rsid w:val="00AC4801"/>
    <w:rsid w:val="00AC5819"/>
    <w:rsid w:val="00AC622C"/>
    <w:rsid w:val="00AC70FE"/>
    <w:rsid w:val="00AD032F"/>
    <w:rsid w:val="00AD0893"/>
    <w:rsid w:val="00AD1840"/>
    <w:rsid w:val="00AD1D33"/>
    <w:rsid w:val="00AD1EA2"/>
    <w:rsid w:val="00AD2119"/>
    <w:rsid w:val="00AD2448"/>
    <w:rsid w:val="00AD257B"/>
    <w:rsid w:val="00AD2EB0"/>
    <w:rsid w:val="00AD413D"/>
    <w:rsid w:val="00AD4D69"/>
    <w:rsid w:val="00AD54C5"/>
    <w:rsid w:val="00AD5F63"/>
    <w:rsid w:val="00AD6B46"/>
    <w:rsid w:val="00AE11F8"/>
    <w:rsid w:val="00AE3460"/>
    <w:rsid w:val="00AE48A3"/>
    <w:rsid w:val="00AE55A2"/>
    <w:rsid w:val="00AE5671"/>
    <w:rsid w:val="00AE6214"/>
    <w:rsid w:val="00AE67E1"/>
    <w:rsid w:val="00AE73A4"/>
    <w:rsid w:val="00AE7649"/>
    <w:rsid w:val="00AE7E2D"/>
    <w:rsid w:val="00AF0DF0"/>
    <w:rsid w:val="00AF0E07"/>
    <w:rsid w:val="00AF21E2"/>
    <w:rsid w:val="00AF29D4"/>
    <w:rsid w:val="00AF3995"/>
    <w:rsid w:val="00AF3CEB"/>
    <w:rsid w:val="00AF5843"/>
    <w:rsid w:val="00AF6824"/>
    <w:rsid w:val="00AF73B0"/>
    <w:rsid w:val="00B01F33"/>
    <w:rsid w:val="00B01FC3"/>
    <w:rsid w:val="00B02253"/>
    <w:rsid w:val="00B02CFA"/>
    <w:rsid w:val="00B02FFB"/>
    <w:rsid w:val="00B03015"/>
    <w:rsid w:val="00B04494"/>
    <w:rsid w:val="00B05C20"/>
    <w:rsid w:val="00B05FB5"/>
    <w:rsid w:val="00B06505"/>
    <w:rsid w:val="00B0665D"/>
    <w:rsid w:val="00B11190"/>
    <w:rsid w:val="00B11E1C"/>
    <w:rsid w:val="00B129C7"/>
    <w:rsid w:val="00B137BA"/>
    <w:rsid w:val="00B137DF"/>
    <w:rsid w:val="00B13CCB"/>
    <w:rsid w:val="00B15639"/>
    <w:rsid w:val="00B205A5"/>
    <w:rsid w:val="00B223D6"/>
    <w:rsid w:val="00B23A22"/>
    <w:rsid w:val="00B23D21"/>
    <w:rsid w:val="00B24106"/>
    <w:rsid w:val="00B24843"/>
    <w:rsid w:val="00B24D14"/>
    <w:rsid w:val="00B25888"/>
    <w:rsid w:val="00B26593"/>
    <w:rsid w:val="00B269CC"/>
    <w:rsid w:val="00B26F8D"/>
    <w:rsid w:val="00B3024E"/>
    <w:rsid w:val="00B30ADD"/>
    <w:rsid w:val="00B30BEF"/>
    <w:rsid w:val="00B31A6D"/>
    <w:rsid w:val="00B31A91"/>
    <w:rsid w:val="00B31B6C"/>
    <w:rsid w:val="00B31D48"/>
    <w:rsid w:val="00B320DE"/>
    <w:rsid w:val="00B321BA"/>
    <w:rsid w:val="00B32DA0"/>
    <w:rsid w:val="00B34FC8"/>
    <w:rsid w:val="00B35057"/>
    <w:rsid w:val="00B35559"/>
    <w:rsid w:val="00B35A2B"/>
    <w:rsid w:val="00B35ADC"/>
    <w:rsid w:val="00B36E54"/>
    <w:rsid w:val="00B37D85"/>
    <w:rsid w:val="00B37EDE"/>
    <w:rsid w:val="00B4075F"/>
    <w:rsid w:val="00B40D6F"/>
    <w:rsid w:val="00B441EF"/>
    <w:rsid w:val="00B443F2"/>
    <w:rsid w:val="00B44ADC"/>
    <w:rsid w:val="00B47230"/>
    <w:rsid w:val="00B4748B"/>
    <w:rsid w:val="00B509E3"/>
    <w:rsid w:val="00B51159"/>
    <w:rsid w:val="00B51383"/>
    <w:rsid w:val="00B51CC2"/>
    <w:rsid w:val="00B520BB"/>
    <w:rsid w:val="00B52E8B"/>
    <w:rsid w:val="00B537E2"/>
    <w:rsid w:val="00B54924"/>
    <w:rsid w:val="00B54932"/>
    <w:rsid w:val="00B55DCC"/>
    <w:rsid w:val="00B55F93"/>
    <w:rsid w:val="00B56F8D"/>
    <w:rsid w:val="00B57684"/>
    <w:rsid w:val="00B5790B"/>
    <w:rsid w:val="00B57CED"/>
    <w:rsid w:val="00B57FA3"/>
    <w:rsid w:val="00B6008C"/>
    <w:rsid w:val="00B60F36"/>
    <w:rsid w:val="00B6187B"/>
    <w:rsid w:val="00B61A10"/>
    <w:rsid w:val="00B61D43"/>
    <w:rsid w:val="00B637F6"/>
    <w:rsid w:val="00B63FB6"/>
    <w:rsid w:val="00B64B9B"/>
    <w:rsid w:val="00B65748"/>
    <w:rsid w:val="00B67599"/>
    <w:rsid w:val="00B70ED1"/>
    <w:rsid w:val="00B730FD"/>
    <w:rsid w:val="00B75A4A"/>
    <w:rsid w:val="00B769D8"/>
    <w:rsid w:val="00B76FA4"/>
    <w:rsid w:val="00B77589"/>
    <w:rsid w:val="00B77D90"/>
    <w:rsid w:val="00B80502"/>
    <w:rsid w:val="00B8062E"/>
    <w:rsid w:val="00B80745"/>
    <w:rsid w:val="00B82287"/>
    <w:rsid w:val="00B82A6D"/>
    <w:rsid w:val="00B84D12"/>
    <w:rsid w:val="00B85F2E"/>
    <w:rsid w:val="00B87404"/>
    <w:rsid w:val="00B87714"/>
    <w:rsid w:val="00B87C68"/>
    <w:rsid w:val="00B87F67"/>
    <w:rsid w:val="00B9027C"/>
    <w:rsid w:val="00B9051E"/>
    <w:rsid w:val="00B91EE2"/>
    <w:rsid w:val="00B92129"/>
    <w:rsid w:val="00B92CB9"/>
    <w:rsid w:val="00B94413"/>
    <w:rsid w:val="00B94A47"/>
    <w:rsid w:val="00B94BB3"/>
    <w:rsid w:val="00BA0490"/>
    <w:rsid w:val="00BA11BE"/>
    <w:rsid w:val="00BA4C84"/>
    <w:rsid w:val="00BA52D1"/>
    <w:rsid w:val="00BA5478"/>
    <w:rsid w:val="00BA6CDC"/>
    <w:rsid w:val="00BB0E1F"/>
    <w:rsid w:val="00BB1F82"/>
    <w:rsid w:val="00BB33AB"/>
    <w:rsid w:val="00BB407D"/>
    <w:rsid w:val="00BB4818"/>
    <w:rsid w:val="00BB5308"/>
    <w:rsid w:val="00BB7337"/>
    <w:rsid w:val="00BB74BD"/>
    <w:rsid w:val="00BB74E0"/>
    <w:rsid w:val="00BC2E80"/>
    <w:rsid w:val="00BC47C9"/>
    <w:rsid w:val="00BC652E"/>
    <w:rsid w:val="00BC6DBC"/>
    <w:rsid w:val="00BD00A4"/>
    <w:rsid w:val="00BD0B51"/>
    <w:rsid w:val="00BD108F"/>
    <w:rsid w:val="00BD1DCD"/>
    <w:rsid w:val="00BD21E1"/>
    <w:rsid w:val="00BD2B62"/>
    <w:rsid w:val="00BD2D8F"/>
    <w:rsid w:val="00BD43CF"/>
    <w:rsid w:val="00BD485F"/>
    <w:rsid w:val="00BD5265"/>
    <w:rsid w:val="00BD5946"/>
    <w:rsid w:val="00BE1E99"/>
    <w:rsid w:val="00BE3C13"/>
    <w:rsid w:val="00BE45FB"/>
    <w:rsid w:val="00BE5472"/>
    <w:rsid w:val="00BE76FA"/>
    <w:rsid w:val="00BE7AA8"/>
    <w:rsid w:val="00BE7FB8"/>
    <w:rsid w:val="00BF0472"/>
    <w:rsid w:val="00BF0FAB"/>
    <w:rsid w:val="00BF115D"/>
    <w:rsid w:val="00BF1BCD"/>
    <w:rsid w:val="00BF39B9"/>
    <w:rsid w:val="00BF5AFB"/>
    <w:rsid w:val="00BF79FD"/>
    <w:rsid w:val="00C011C9"/>
    <w:rsid w:val="00C02428"/>
    <w:rsid w:val="00C02C44"/>
    <w:rsid w:val="00C048C8"/>
    <w:rsid w:val="00C1278F"/>
    <w:rsid w:val="00C140BE"/>
    <w:rsid w:val="00C151B5"/>
    <w:rsid w:val="00C17108"/>
    <w:rsid w:val="00C1723B"/>
    <w:rsid w:val="00C17314"/>
    <w:rsid w:val="00C173A9"/>
    <w:rsid w:val="00C210A9"/>
    <w:rsid w:val="00C2156E"/>
    <w:rsid w:val="00C21F1A"/>
    <w:rsid w:val="00C21FE6"/>
    <w:rsid w:val="00C223E4"/>
    <w:rsid w:val="00C22B2A"/>
    <w:rsid w:val="00C24155"/>
    <w:rsid w:val="00C246EA"/>
    <w:rsid w:val="00C24987"/>
    <w:rsid w:val="00C24CD8"/>
    <w:rsid w:val="00C30521"/>
    <w:rsid w:val="00C3119D"/>
    <w:rsid w:val="00C31C16"/>
    <w:rsid w:val="00C31D87"/>
    <w:rsid w:val="00C32948"/>
    <w:rsid w:val="00C33D39"/>
    <w:rsid w:val="00C3439A"/>
    <w:rsid w:val="00C349C4"/>
    <w:rsid w:val="00C35CDC"/>
    <w:rsid w:val="00C35EB5"/>
    <w:rsid w:val="00C364C3"/>
    <w:rsid w:val="00C37DA8"/>
    <w:rsid w:val="00C400B2"/>
    <w:rsid w:val="00C416FA"/>
    <w:rsid w:val="00C4186B"/>
    <w:rsid w:val="00C42F41"/>
    <w:rsid w:val="00C43E46"/>
    <w:rsid w:val="00C446BE"/>
    <w:rsid w:val="00C44BEE"/>
    <w:rsid w:val="00C45635"/>
    <w:rsid w:val="00C45D3C"/>
    <w:rsid w:val="00C45E9B"/>
    <w:rsid w:val="00C47E18"/>
    <w:rsid w:val="00C50580"/>
    <w:rsid w:val="00C50E3E"/>
    <w:rsid w:val="00C51DFF"/>
    <w:rsid w:val="00C52740"/>
    <w:rsid w:val="00C52BAB"/>
    <w:rsid w:val="00C53A02"/>
    <w:rsid w:val="00C53B8D"/>
    <w:rsid w:val="00C54098"/>
    <w:rsid w:val="00C55314"/>
    <w:rsid w:val="00C55AEC"/>
    <w:rsid w:val="00C55D8D"/>
    <w:rsid w:val="00C571BA"/>
    <w:rsid w:val="00C57560"/>
    <w:rsid w:val="00C60CC1"/>
    <w:rsid w:val="00C617F4"/>
    <w:rsid w:val="00C62D48"/>
    <w:rsid w:val="00C64C6C"/>
    <w:rsid w:val="00C6547B"/>
    <w:rsid w:val="00C66363"/>
    <w:rsid w:val="00C66BE3"/>
    <w:rsid w:val="00C674C6"/>
    <w:rsid w:val="00C71258"/>
    <w:rsid w:val="00C71968"/>
    <w:rsid w:val="00C73849"/>
    <w:rsid w:val="00C758C6"/>
    <w:rsid w:val="00C77A32"/>
    <w:rsid w:val="00C77C9E"/>
    <w:rsid w:val="00C77ED8"/>
    <w:rsid w:val="00C80AAD"/>
    <w:rsid w:val="00C81E41"/>
    <w:rsid w:val="00C81EB4"/>
    <w:rsid w:val="00C82C08"/>
    <w:rsid w:val="00C8359F"/>
    <w:rsid w:val="00C836E6"/>
    <w:rsid w:val="00C83794"/>
    <w:rsid w:val="00C83FBC"/>
    <w:rsid w:val="00C84F11"/>
    <w:rsid w:val="00C85368"/>
    <w:rsid w:val="00C8625D"/>
    <w:rsid w:val="00C87271"/>
    <w:rsid w:val="00C90583"/>
    <w:rsid w:val="00C90B8D"/>
    <w:rsid w:val="00C90BCB"/>
    <w:rsid w:val="00C9102E"/>
    <w:rsid w:val="00C91C58"/>
    <w:rsid w:val="00C92714"/>
    <w:rsid w:val="00C9364E"/>
    <w:rsid w:val="00C939F3"/>
    <w:rsid w:val="00C94171"/>
    <w:rsid w:val="00C945C7"/>
    <w:rsid w:val="00C9601C"/>
    <w:rsid w:val="00C9699E"/>
    <w:rsid w:val="00C97A5F"/>
    <w:rsid w:val="00CA2809"/>
    <w:rsid w:val="00CA3950"/>
    <w:rsid w:val="00CA3966"/>
    <w:rsid w:val="00CA40CF"/>
    <w:rsid w:val="00CA4DE6"/>
    <w:rsid w:val="00CA4F63"/>
    <w:rsid w:val="00CA58AD"/>
    <w:rsid w:val="00CA5B30"/>
    <w:rsid w:val="00CA610C"/>
    <w:rsid w:val="00CA6AAF"/>
    <w:rsid w:val="00CA7C29"/>
    <w:rsid w:val="00CB14A3"/>
    <w:rsid w:val="00CB166B"/>
    <w:rsid w:val="00CB24C4"/>
    <w:rsid w:val="00CB31EE"/>
    <w:rsid w:val="00CB3BD4"/>
    <w:rsid w:val="00CB42A7"/>
    <w:rsid w:val="00CB43D2"/>
    <w:rsid w:val="00CB4795"/>
    <w:rsid w:val="00CB4FCE"/>
    <w:rsid w:val="00CB530F"/>
    <w:rsid w:val="00CB5BCA"/>
    <w:rsid w:val="00CB64C3"/>
    <w:rsid w:val="00CC03DD"/>
    <w:rsid w:val="00CC077B"/>
    <w:rsid w:val="00CC09A0"/>
    <w:rsid w:val="00CC197A"/>
    <w:rsid w:val="00CC2B64"/>
    <w:rsid w:val="00CC3C7F"/>
    <w:rsid w:val="00CC53F5"/>
    <w:rsid w:val="00CC66C8"/>
    <w:rsid w:val="00CC7065"/>
    <w:rsid w:val="00CC70ED"/>
    <w:rsid w:val="00CC7FC6"/>
    <w:rsid w:val="00CD0025"/>
    <w:rsid w:val="00CD073C"/>
    <w:rsid w:val="00CD0C78"/>
    <w:rsid w:val="00CD3A3E"/>
    <w:rsid w:val="00CD3B5E"/>
    <w:rsid w:val="00CD3F3B"/>
    <w:rsid w:val="00CD4965"/>
    <w:rsid w:val="00CD4E5E"/>
    <w:rsid w:val="00CD5259"/>
    <w:rsid w:val="00CD53E5"/>
    <w:rsid w:val="00CD542B"/>
    <w:rsid w:val="00CD6E3F"/>
    <w:rsid w:val="00CD6FD2"/>
    <w:rsid w:val="00CD7B18"/>
    <w:rsid w:val="00CE0E94"/>
    <w:rsid w:val="00CE1098"/>
    <w:rsid w:val="00CE1CA2"/>
    <w:rsid w:val="00CE26D1"/>
    <w:rsid w:val="00CE316A"/>
    <w:rsid w:val="00CE35BB"/>
    <w:rsid w:val="00CE3873"/>
    <w:rsid w:val="00CE4BAF"/>
    <w:rsid w:val="00CE4F08"/>
    <w:rsid w:val="00CE5A23"/>
    <w:rsid w:val="00CE5D2D"/>
    <w:rsid w:val="00CE5D54"/>
    <w:rsid w:val="00CE6A81"/>
    <w:rsid w:val="00CF0E79"/>
    <w:rsid w:val="00CF1BBB"/>
    <w:rsid w:val="00CF39BD"/>
    <w:rsid w:val="00CF4F74"/>
    <w:rsid w:val="00CF72B9"/>
    <w:rsid w:val="00D02447"/>
    <w:rsid w:val="00D02986"/>
    <w:rsid w:val="00D02E9E"/>
    <w:rsid w:val="00D0372F"/>
    <w:rsid w:val="00D03B41"/>
    <w:rsid w:val="00D04CD4"/>
    <w:rsid w:val="00D1028F"/>
    <w:rsid w:val="00D11266"/>
    <w:rsid w:val="00D120D4"/>
    <w:rsid w:val="00D126B1"/>
    <w:rsid w:val="00D130AE"/>
    <w:rsid w:val="00D1363C"/>
    <w:rsid w:val="00D139C8"/>
    <w:rsid w:val="00D16519"/>
    <w:rsid w:val="00D16869"/>
    <w:rsid w:val="00D1734F"/>
    <w:rsid w:val="00D17D09"/>
    <w:rsid w:val="00D212C9"/>
    <w:rsid w:val="00D21801"/>
    <w:rsid w:val="00D21B4C"/>
    <w:rsid w:val="00D23AE0"/>
    <w:rsid w:val="00D23D43"/>
    <w:rsid w:val="00D248B2"/>
    <w:rsid w:val="00D249E8"/>
    <w:rsid w:val="00D24A02"/>
    <w:rsid w:val="00D252FA"/>
    <w:rsid w:val="00D25D1E"/>
    <w:rsid w:val="00D2663D"/>
    <w:rsid w:val="00D26E36"/>
    <w:rsid w:val="00D303C8"/>
    <w:rsid w:val="00D30793"/>
    <w:rsid w:val="00D30AA1"/>
    <w:rsid w:val="00D30E9F"/>
    <w:rsid w:val="00D33B62"/>
    <w:rsid w:val="00D33D15"/>
    <w:rsid w:val="00D345F9"/>
    <w:rsid w:val="00D347EB"/>
    <w:rsid w:val="00D35508"/>
    <w:rsid w:val="00D35A06"/>
    <w:rsid w:val="00D360CC"/>
    <w:rsid w:val="00D36EA5"/>
    <w:rsid w:val="00D36F48"/>
    <w:rsid w:val="00D37312"/>
    <w:rsid w:val="00D4098E"/>
    <w:rsid w:val="00D41608"/>
    <w:rsid w:val="00D4244B"/>
    <w:rsid w:val="00D430C7"/>
    <w:rsid w:val="00D431E5"/>
    <w:rsid w:val="00D433DC"/>
    <w:rsid w:val="00D433EE"/>
    <w:rsid w:val="00D4351E"/>
    <w:rsid w:val="00D44386"/>
    <w:rsid w:val="00D46D24"/>
    <w:rsid w:val="00D50769"/>
    <w:rsid w:val="00D5154D"/>
    <w:rsid w:val="00D51850"/>
    <w:rsid w:val="00D529E4"/>
    <w:rsid w:val="00D52B02"/>
    <w:rsid w:val="00D52F6A"/>
    <w:rsid w:val="00D53484"/>
    <w:rsid w:val="00D534AB"/>
    <w:rsid w:val="00D53E12"/>
    <w:rsid w:val="00D53E54"/>
    <w:rsid w:val="00D541DF"/>
    <w:rsid w:val="00D5429E"/>
    <w:rsid w:val="00D550D8"/>
    <w:rsid w:val="00D55225"/>
    <w:rsid w:val="00D552A0"/>
    <w:rsid w:val="00D56192"/>
    <w:rsid w:val="00D56497"/>
    <w:rsid w:val="00D6148B"/>
    <w:rsid w:val="00D62451"/>
    <w:rsid w:val="00D62D1B"/>
    <w:rsid w:val="00D64429"/>
    <w:rsid w:val="00D64CC9"/>
    <w:rsid w:val="00D64FC8"/>
    <w:rsid w:val="00D6770F"/>
    <w:rsid w:val="00D7078C"/>
    <w:rsid w:val="00D73C42"/>
    <w:rsid w:val="00D741DC"/>
    <w:rsid w:val="00D74568"/>
    <w:rsid w:val="00D75A04"/>
    <w:rsid w:val="00D76581"/>
    <w:rsid w:val="00D81F81"/>
    <w:rsid w:val="00D8202A"/>
    <w:rsid w:val="00D82089"/>
    <w:rsid w:val="00D8258F"/>
    <w:rsid w:val="00D825A7"/>
    <w:rsid w:val="00D82E29"/>
    <w:rsid w:val="00D83052"/>
    <w:rsid w:val="00D8310C"/>
    <w:rsid w:val="00D83542"/>
    <w:rsid w:val="00D83676"/>
    <w:rsid w:val="00D86837"/>
    <w:rsid w:val="00D86A37"/>
    <w:rsid w:val="00D87B37"/>
    <w:rsid w:val="00D91D25"/>
    <w:rsid w:val="00D92283"/>
    <w:rsid w:val="00D92E1F"/>
    <w:rsid w:val="00D93F40"/>
    <w:rsid w:val="00D9561E"/>
    <w:rsid w:val="00D956CF"/>
    <w:rsid w:val="00D95DBA"/>
    <w:rsid w:val="00D96521"/>
    <w:rsid w:val="00DA0255"/>
    <w:rsid w:val="00DA117E"/>
    <w:rsid w:val="00DA4099"/>
    <w:rsid w:val="00DA476E"/>
    <w:rsid w:val="00DA48DF"/>
    <w:rsid w:val="00DA4CE1"/>
    <w:rsid w:val="00DA6404"/>
    <w:rsid w:val="00DA6D37"/>
    <w:rsid w:val="00DA7637"/>
    <w:rsid w:val="00DA7CE6"/>
    <w:rsid w:val="00DB0DE3"/>
    <w:rsid w:val="00DB404E"/>
    <w:rsid w:val="00DB4BE0"/>
    <w:rsid w:val="00DB550C"/>
    <w:rsid w:val="00DC0C6C"/>
    <w:rsid w:val="00DC0D41"/>
    <w:rsid w:val="00DC1A24"/>
    <w:rsid w:val="00DC2535"/>
    <w:rsid w:val="00DC3455"/>
    <w:rsid w:val="00DC4F27"/>
    <w:rsid w:val="00DC5131"/>
    <w:rsid w:val="00DC6153"/>
    <w:rsid w:val="00DC61EE"/>
    <w:rsid w:val="00DD00FC"/>
    <w:rsid w:val="00DD08A3"/>
    <w:rsid w:val="00DD09F6"/>
    <w:rsid w:val="00DD0D04"/>
    <w:rsid w:val="00DD1390"/>
    <w:rsid w:val="00DD1603"/>
    <w:rsid w:val="00DD1E12"/>
    <w:rsid w:val="00DD281C"/>
    <w:rsid w:val="00DD3C12"/>
    <w:rsid w:val="00DD5DC2"/>
    <w:rsid w:val="00DE0CF4"/>
    <w:rsid w:val="00DE127C"/>
    <w:rsid w:val="00DE13CC"/>
    <w:rsid w:val="00DE15FA"/>
    <w:rsid w:val="00DE16B9"/>
    <w:rsid w:val="00DE1831"/>
    <w:rsid w:val="00DE292F"/>
    <w:rsid w:val="00DE2A85"/>
    <w:rsid w:val="00DE3BDB"/>
    <w:rsid w:val="00DE411E"/>
    <w:rsid w:val="00DE6E00"/>
    <w:rsid w:val="00DE7FAA"/>
    <w:rsid w:val="00DF05C9"/>
    <w:rsid w:val="00DF1172"/>
    <w:rsid w:val="00DF1FFE"/>
    <w:rsid w:val="00DF2ACA"/>
    <w:rsid w:val="00DF4553"/>
    <w:rsid w:val="00DF45ED"/>
    <w:rsid w:val="00DF614E"/>
    <w:rsid w:val="00E017DE"/>
    <w:rsid w:val="00E01BBC"/>
    <w:rsid w:val="00E0245B"/>
    <w:rsid w:val="00E02CEC"/>
    <w:rsid w:val="00E030E7"/>
    <w:rsid w:val="00E03FED"/>
    <w:rsid w:val="00E04230"/>
    <w:rsid w:val="00E044D5"/>
    <w:rsid w:val="00E04979"/>
    <w:rsid w:val="00E06219"/>
    <w:rsid w:val="00E065DA"/>
    <w:rsid w:val="00E0663B"/>
    <w:rsid w:val="00E06694"/>
    <w:rsid w:val="00E071F2"/>
    <w:rsid w:val="00E07998"/>
    <w:rsid w:val="00E1651F"/>
    <w:rsid w:val="00E173DB"/>
    <w:rsid w:val="00E234AC"/>
    <w:rsid w:val="00E23B28"/>
    <w:rsid w:val="00E24C12"/>
    <w:rsid w:val="00E25C9A"/>
    <w:rsid w:val="00E25D1A"/>
    <w:rsid w:val="00E26884"/>
    <w:rsid w:val="00E2715B"/>
    <w:rsid w:val="00E27A5D"/>
    <w:rsid w:val="00E27E89"/>
    <w:rsid w:val="00E30A62"/>
    <w:rsid w:val="00E32B95"/>
    <w:rsid w:val="00E332CB"/>
    <w:rsid w:val="00E3381F"/>
    <w:rsid w:val="00E339EE"/>
    <w:rsid w:val="00E34275"/>
    <w:rsid w:val="00E37320"/>
    <w:rsid w:val="00E40F5E"/>
    <w:rsid w:val="00E429F0"/>
    <w:rsid w:val="00E44199"/>
    <w:rsid w:val="00E4425B"/>
    <w:rsid w:val="00E447CE"/>
    <w:rsid w:val="00E452F2"/>
    <w:rsid w:val="00E46EA7"/>
    <w:rsid w:val="00E477DE"/>
    <w:rsid w:val="00E50837"/>
    <w:rsid w:val="00E50C7D"/>
    <w:rsid w:val="00E54353"/>
    <w:rsid w:val="00E547F2"/>
    <w:rsid w:val="00E561B6"/>
    <w:rsid w:val="00E572D9"/>
    <w:rsid w:val="00E60314"/>
    <w:rsid w:val="00E6097C"/>
    <w:rsid w:val="00E61DBF"/>
    <w:rsid w:val="00E62C0E"/>
    <w:rsid w:val="00E6360D"/>
    <w:rsid w:val="00E63D10"/>
    <w:rsid w:val="00E65009"/>
    <w:rsid w:val="00E65618"/>
    <w:rsid w:val="00E6563F"/>
    <w:rsid w:val="00E656EC"/>
    <w:rsid w:val="00E664ED"/>
    <w:rsid w:val="00E6675D"/>
    <w:rsid w:val="00E66B43"/>
    <w:rsid w:val="00E675B7"/>
    <w:rsid w:val="00E7158D"/>
    <w:rsid w:val="00E716C2"/>
    <w:rsid w:val="00E7463E"/>
    <w:rsid w:val="00E74D6B"/>
    <w:rsid w:val="00E75513"/>
    <w:rsid w:val="00E75AB7"/>
    <w:rsid w:val="00E7728A"/>
    <w:rsid w:val="00E837B2"/>
    <w:rsid w:val="00E844CA"/>
    <w:rsid w:val="00E84DD1"/>
    <w:rsid w:val="00E859A1"/>
    <w:rsid w:val="00E86530"/>
    <w:rsid w:val="00E86C68"/>
    <w:rsid w:val="00E90362"/>
    <w:rsid w:val="00E90528"/>
    <w:rsid w:val="00E91DCB"/>
    <w:rsid w:val="00E91E7F"/>
    <w:rsid w:val="00E93A65"/>
    <w:rsid w:val="00E940BB"/>
    <w:rsid w:val="00E94227"/>
    <w:rsid w:val="00E94883"/>
    <w:rsid w:val="00E958A1"/>
    <w:rsid w:val="00E96060"/>
    <w:rsid w:val="00E96DF5"/>
    <w:rsid w:val="00E97435"/>
    <w:rsid w:val="00E976A9"/>
    <w:rsid w:val="00E97C8C"/>
    <w:rsid w:val="00EA00EF"/>
    <w:rsid w:val="00EA0EE7"/>
    <w:rsid w:val="00EA18E0"/>
    <w:rsid w:val="00EA2AF8"/>
    <w:rsid w:val="00EA3F41"/>
    <w:rsid w:val="00EA40BB"/>
    <w:rsid w:val="00EA4103"/>
    <w:rsid w:val="00EA4661"/>
    <w:rsid w:val="00EA5D09"/>
    <w:rsid w:val="00EA78EA"/>
    <w:rsid w:val="00EB1203"/>
    <w:rsid w:val="00EB1DD7"/>
    <w:rsid w:val="00EB23CA"/>
    <w:rsid w:val="00EB254F"/>
    <w:rsid w:val="00EB25F6"/>
    <w:rsid w:val="00EB394C"/>
    <w:rsid w:val="00EB3F45"/>
    <w:rsid w:val="00EB4899"/>
    <w:rsid w:val="00EB580C"/>
    <w:rsid w:val="00EB62E7"/>
    <w:rsid w:val="00EC032E"/>
    <w:rsid w:val="00EC08A8"/>
    <w:rsid w:val="00EC108F"/>
    <w:rsid w:val="00EC252B"/>
    <w:rsid w:val="00EC2ACF"/>
    <w:rsid w:val="00EC3403"/>
    <w:rsid w:val="00EC4388"/>
    <w:rsid w:val="00EC47AD"/>
    <w:rsid w:val="00EC5ABE"/>
    <w:rsid w:val="00EC6704"/>
    <w:rsid w:val="00EC6D81"/>
    <w:rsid w:val="00ED1A39"/>
    <w:rsid w:val="00ED1FFC"/>
    <w:rsid w:val="00ED25FB"/>
    <w:rsid w:val="00ED29F9"/>
    <w:rsid w:val="00ED49C9"/>
    <w:rsid w:val="00ED6205"/>
    <w:rsid w:val="00ED646C"/>
    <w:rsid w:val="00ED701F"/>
    <w:rsid w:val="00ED73D8"/>
    <w:rsid w:val="00EE52D5"/>
    <w:rsid w:val="00EE685F"/>
    <w:rsid w:val="00EE78F6"/>
    <w:rsid w:val="00EE79B6"/>
    <w:rsid w:val="00EF0088"/>
    <w:rsid w:val="00EF0F37"/>
    <w:rsid w:val="00EF2215"/>
    <w:rsid w:val="00EF4411"/>
    <w:rsid w:val="00EF49DF"/>
    <w:rsid w:val="00EF4DF3"/>
    <w:rsid w:val="00EF6B48"/>
    <w:rsid w:val="00EF6EEA"/>
    <w:rsid w:val="00EF71F5"/>
    <w:rsid w:val="00EF781D"/>
    <w:rsid w:val="00F005CE"/>
    <w:rsid w:val="00F00FF4"/>
    <w:rsid w:val="00F01017"/>
    <w:rsid w:val="00F01A32"/>
    <w:rsid w:val="00F02056"/>
    <w:rsid w:val="00F0206D"/>
    <w:rsid w:val="00F026D9"/>
    <w:rsid w:val="00F05291"/>
    <w:rsid w:val="00F05AF6"/>
    <w:rsid w:val="00F05D9A"/>
    <w:rsid w:val="00F06909"/>
    <w:rsid w:val="00F06A93"/>
    <w:rsid w:val="00F0780D"/>
    <w:rsid w:val="00F11CA3"/>
    <w:rsid w:val="00F12C68"/>
    <w:rsid w:val="00F133E3"/>
    <w:rsid w:val="00F139DB"/>
    <w:rsid w:val="00F1511D"/>
    <w:rsid w:val="00F161E9"/>
    <w:rsid w:val="00F1682D"/>
    <w:rsid w:val="00F17DCC"/>
    <w:rsid w:val="00F2029C"/>
    <w:rsid w:val="00F20346"/>
    <w:rsid w:val="00F2197F"/>
    <w:rsid w:val="00F22639"/>
    <w:rsid w:val="00F234FF"/>
    <w:rsid w:val="00F24379"/>
    <w:rsid w:val="00F24851"/>
    <w:rsid w:val="00F256FC"/>
    <w:rsid w:val="00F27CC2"/>
    <w:rsid w:val="00F30950"/>
    <w:rsid w:val="00F30D1C"/>
    <w:rsid w:val="00F3191D"/>
    <w:rsid w:val="00F332B7"/>
    <w:rsid w:val="00F33807"/>
    <w:rsid w:val="00F338B4"/>
    <w:rsid w:val="00F34A1D"/>
    <w:rsid w:val="00F363A0"/>
    <w:rsid w:val="00F41787"/>
    <w:rsid w:val="00F41849"/>
    <w:rsid w:val="00F427CD"/>
    <w:rsid w:val="00F42B67"/>
    <w:rsid w:val="00F4346A"/>
    <w:rsid w:val="00F434E7"/>
    <w:rsid w:val="00F445A5"/>
    <w:rsid w:val="00F45088"/>
    <w:rsid w:val="00F45340"/>
    <w:rsid w:val="00F4637F"/>
    <w:rsid w:val="00F500B9"/>
    <w:rsid w:val="00F51105"/>
    <w:rsid w:val="00F5172D"/>
    <w:rsid w:val="00F527C2"/>
    <w:rsid w:val="00F528DA"/>
    <w:rsid w:val="00F52A38"/>
    <w:rsid w:val="00F52D8D"/>
    <w:rsid w:val="00F53863"/>
    <w:rsid w:val="00F538A1"/>
    <w:rsid w:val="00F53D6C"/>
    <w:rsid w:val="00F55156"/>
    <w:rsid w:val="00F55683"/>
    <w:rsid w:val="00F560E1"/>
    <w:rsid w:val="00F57182"/>
    <w:rsid w:val="00F57A2B"/>
    <w:rsid w:val="00F60801"/>
    <w:rsid w:val="00F6126F"/>
    <w:rsid w:val="00F61641"/>
    <w:rsid w:val="00F61D42"/>
    <w:rsid w:val="00F63447"/>
    <w:rsid w:val="00F63466"/>
    <w:rsid w:val="00F64390"/>
    <w:rsid w:val="00F64794"/>
    <w:rsid w:val="00F64AAE"/>
    <w:rsid w:val="00F664F6"/>
    <w:rsid w:val="00F6799C"/>
    <w:rsid w:val="00F70215"/>
    <w:rsid w:val="00F707A7"/>
    <w:rsid w:val="00F70A2F"/>
    <w:rsid w:val="00F71C03"/>
    <w:rsid w:val="00F71C7B"/>
    <w:rsid w:val="00F71DD9"/>
    <w:rsid w:val="00F76114"/>
    <w:rsid w:val="00F80815"/>
    <w:rsid w:val="00F80EEB"/>
    <w:rsid w:val="00F81BEC"/>
    <w:rsid w:val="00F823D8"/>
    <w:rsid w:val="00F82D05"/>
    <w:rsid w:val="00F84078"/>
    <w:rsid w:val="00F84A97"/>
    <w:rsid w:val="00F84F6A"/>
    <w:rsid w:val="00F8558F"/>
    <w:rsid w:val="00F86C42"/>
    <w:rsid w:val="00F86CA7"/>
    <w:rsid w:val="00F872F3"/>
    <w:rsid w:val="00F87C74"/>
    <w:rsid w:val="00F90CF7"/>
    <w:rsid w:val="00F91A38"/>
    <w:rsid w:val="00F93FB6"/>
    <w:rsid w:val="00F9552B"/>
    <w:rsid w:val="00F95BB7"/>
    <w:rsid w:val="00F95E8B"/>
    <w:rsid w:val="00F96D9A"/>
    <w:rsid w:val="00FA0053"/>
    <w:rsid w:val="00FA11D3"/>
    <w:rsid w:val="00FA165A"/>
    <w:rsid w:val="00FA1848"/>
    <w:rsid w:val="00FA2F5D"/>
    <w:rsid w:val="00FA63B3"/>
    <w:rsid w:val="00FB1160"/>
    <w:rsid w:val="00FB154C"/>
    <w:rsid w:val="00FB1579"/>
    <w:rsid w:val="00FB2388"/>
    <w:rsid w:val="00FB365B"/>
    <w:rsid w:val="00FB4F97"/>
    <w:rsid w:val="00FB5666"/>
    <w:rsid w:val="00FB5CDE"/>
    <w:rsid w:val="00FB6B32"/>
    <w:rsid w:val="00FB6DD8"/>
    <w:rsid w:val="00FB6ED5"/>
    <w:rsid w:val="00FB70BA"/>
    <w:rsid w:val="00FC001E"/>
    <w:rsid w:val="00FC0C6F"/>
    <w:rsid w:val="00FC1947"/>
    <w:rsid w:val="00FC1D6A"/>
    <w:rsid w:val="00FC298B"/>
    <w:rsid w:val="00FC298C"/>
    <w:rsid w:val="00FC371C"/>
    <w:rsid w:val="00FC419F"/>
    <w:rsid w:val="00FC56AC"/>
    <w:rsid w:val="00FC6A3B"/>
    <w:rsid w:val="00FC6C1C"/>
    <w:rsid w:val="00FC6E6D"/>
    <w:rsid w:val="00FC72AE"/>
    <w:rsid w:val="00FC7663"/>
    <w:rsid w:val="00FC7CC4"/>
    <w:rsid w:val="00FD00A3"/>
    <w:rsid w:val="00FD0977"/>
    <w:rsid w:val="00FD0DA6"/>
    <w:rsid w:val="00FD0DBC"/>
    <w:rsid w:val="00FD1606"/>
    <w:rsid w:val="00FD1F6F"/>
    <w:rsid w:val="00FD3590"/>
    <w:rsid w:val="00FD3D7B"/>
    <w:rsid w:val="00FD3F42"/>
    <w:rsid w:val="00FD4BD2"/>
    <w:rsid w:val="00FD535E"/>
    <w:rsid w:val="00FD5543"/>
    <w:rsid w:val="00FD6F63"/>
    <w:rsid w:val="00FE0B2D"/>
    <w:rsid w:val="00FE0F39"/>
    <w:rsid w:val="00FE2500"/>
    <w:rsid w:val="00FE39DA"/>
    <w:rsid w:val="00FE3B48"/>
    <w:rsid w:val="00FE41C3"/>
    <w:rsid w:val="00FE42B1"/>
    <w:rsid w:val="00FE45FB"/>
    <w:rsid w:val="00FE5682"/>
    <w:rsid w:val="00FE68B9"/>
    <w:rsid w:val="00FF02EF"/>
    <w:rsid w:val="00FF11A6"/>
    <w:rsid w:val="00FF32CA"/>
    <w:rsid w:val="00FF35D6"/>
    <w:rsid w:val="00FF3DE5"/>
    <w:rsid w:val="00FF4E4A"/>
    <w:rsid w:val="00FF4F62"/>
    <w:rsid w:val="00FF5809"/>
    <w:rsid w:val="00FF688E"/>
    <w:rsid w:val="00FF6E85"/>
    <w:rsid w:val="00FF7556"/>
    <w:rsid w:val="00FF7D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FDC55B"/>
  <w15:docId w15:val="{48558776-9AA6-6549-8465-7917E7B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BB"/>
  </w:style>
  <w:style w:type="paragraph" w:styleId="Titre1">
    <w:name w:val="heading 1"/>
    <w:basedOn w:val="Normal"/>
    <w:next w:val="Normal"/>
    <w:qFormat/>
    <w:pPr>
      <w:keepNext/>
      <w:widowControl w:val="0"/>
      <w:overflowPunct w:val="0"/>
      <w:autoSpaceDE w:val="0"/>
      <w:autoSpaceDN w:val="0"/>
      <w:adjustRightInd w:val="0"/>
      <w:spacing w:before="240" w:after="60"/>
      <w:ind w:left="567" w:firstLine="873"/>
      <w:jc w:val="both"/>
      <w:textAlignment w:val="baseline"/>
      <w:outlineLvl w:val="0"/>
    </w:pPr>
    <w:rPr>
      <w:rFonts w:ascii="Arial" w:hAnsi="Arial" w:cs="Arial"/>
      <w:b/>
      <w:bCs/>
      <w:color w:val="000000"/>
      <w:kern w:val="32"/>
      <w:sz w:val="32"/>
      <w:szCs w:val="32"/>
    </w:rPr>
  </w:style>
  <w:style w:type="paragraph" w:styleId="Titre2">
    <w:name w:val="heading 2"/>
    <w:basedOn w:val="Normal"/>
    <w:next w:val="Normal"/>
    <w:link w:val="Titre2Car"/>
    <w:qFormat/>
    <w:pPr>
      <w:keepNext/>
      <w:ind w:left="360" w:right="432" w:hanging="27"/>
      <w:jc w:val="center"/>
      <w:outlineLvl w:val="1"/>
    </w:pPr>
    <w:rPr>
      <w:b/>
      <w:bCs/>
      <w:sz w:val="28"/>
      <w:szCs w:val="28"/>
    </w:rPr>
  </w:style>
  <w:style w:type="paragraph" w:styleId="Titre3">
    <w:name w:val="heading 3"/>
    <w:basedOn w:val="Normal"/>
    <w:next w:val="Normal"/>
    <w:qFormat/>
    <w:pPr>
      <w:keepNext/>
      <w:ind w:left="360" w:right="432" w:firstLine="360"/>
      <w:jc w:val="center"/>
      <w:outlineLvl w:val="2"/>
    </w:pPr>
    <w:rPr>
      <w:b/>
      <w:bCs/>
      <w:sz w:val="28"/>
      <w:szCs w:val="28"/>
      <w:u w:val="single"/>
    </w:rPr>
  </w:style>
  <w:style w:type="paragraph" w:styleId="Titre4">
    <w:name w:val="heading 4"/>
    <w:basedOn w:val="Normal"/>
    <w:next w:val="Normal"/>
    <w:link w:val="Titre4Car"/>
    <w:uiPriority w:val="9"/>
    <w:unhideWhenUsed/>
    <w:qFormat/>
    <w:rsid w:val="0062789F"/>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62789F"/>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rsid w:val="0037326E"/>
    <w:pPr>
      <w:keepNext/>
      <w:keepLines/>
      <w:spacing w:before="200"/>
      <w:ind w:left="567" w:right="567" w:firstLine="567"/>
      <w:jc w:val="both"/>
      <w:outlineLvl w:val="5"/>
    </w:pPr>
    <w:rPr>
      <w:rFonts w:ascii="Cambria" w:hAnsi="Cambria"/>
      <w:i/>
      <w:iCs/>
      <w:color w:val="243F60"/>
    </w:rPr>
  </w:style>
  <w:style w:type="paragraph" w:styleId="Titre7">
    <w:name w:val="heading 7"/>
    <w:basedOn w:val="Normal"/>
    <w:next w:val="Normal"/>
    <w:link w:val="Titre7Car"/>
    <w:qFormat/>
    <w:pPr>
      <w:keepNext/>
      <w:widowControl w:val="0"/>
      <w:pBdr>
        <w:top w:val="double" w:sz="6" w:space="1" w:color="auto"/>
        <w:left w:val="double" w:sz="6" w:space="4" w:color="auto"/>
        <w:bottom w:val="double" w:sz="6" w:space="1" w:color="auto"/>
        <w:right w:val="double" w:sz="6" w:space="4" w:color="auto"/>
      </w:pBdr>
      <w:overflowPunct w:val="0"/>
      <w:autoSpaceDE w:val="0"/>
      <w:autoSpaceDN w:val="0"/>
      <w:adjustRightInd w:val="0"/>
      <w:ind w:left="567" w:right="5526"/>
      <w:jc w:val="center"/>
      <w:textAlignment w:val="baseline"/>
      <w:outlineLvl w:val="6"/>
    </w:pPr>
    <w:rPr>
      <w:b/>
      <w:color w:val="00000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entr1">
    <w:name w:val="Normal centré1"/>
    <w:basedOn w:val="Normal"/>
    <w:pPr>
      <w:widowControl w:val="0"/>
      <w:tabs>
        <w:tab w:val="left" w:pos="6359"/>
      </w:tabs>
      <w:overflowPunct w:val="0"/>
      <w:autoSpaceDE w:val="0"/>
      <w:autoSpaceDN w:val="0"/>
      <w:adjustRightInd w:val="0"/>
      <w:ind w:left="567" w:right="567" w:firstLine="873"/>
      <w:jc w:val="both"/>
      <w:textAlignment w:val="baseline"/>
    </w:pPr>
    <w:rPr>
      <w:color w:val="000000"/>
      <w:sz w:val="28"/>
      <w:szCs w:val="20"/>
    </w:rPr>
  </w:style>
  <w:style w:type="paragraph" w:styleId="Corpsdetexte">
    <w:name w:val="Body Text"/>
    <w:basedOn w:val="Normal"/>
    <w:pPr>
      <w:jc w:val="both"/>
    </w:pPr>
    <w:rPr>
      <w:caps/>
      <w:szCs w:val="20"/>
    </w:rPr>
  </w:style>
  <w:style w:type="paragraph" w:styleId="Normalcentr">
    <w:name w:val="Block Text"/>
    <w:basedOn w:val="Normal"/>
    <w:pPr>
      <w:ind w:left="360" w:right="432" w:firstLine="360"/>
      <w:jc w:val="both"/>
    </w:pPr>
  </w:style>
  <w:style w:type="paragraph" w:styleId="Pieddepage">
    <w:name w:val="footer"/>
    <w:basedOn w:val="Normal"/>
    <w:rsid w:val="00F2197F"/>
    <w:pPr>
      <w:tabs>
        <w:tab w:val="center" w:pos="4536"/>
        <w:tab w:val="right" w:pos="9072"/>
      </w:tabs>
    </w:pPr>
  </w:style>
  <w:style w:type="character" w:styleId="Numrodepage">
    <w:name w:val="page number"/>
    <w:basedOn w:val="Policepardfaut"/>
    <w:rsid w:val="00F2197F"/>
  </w:style>
  <w:style w:type="paragraph" w:styleId="Textedebulles">
    <w:name w:val="Balloon Text"/>
    <w:basedOn w:val="Normal"/>
    <w:semiHidden/>
    <w:rsid w:val="00456C2E"/>
    <w:rPr>
      <w:rFonts w:ascii="Tahoma" w:hAnsi="Tahoma" w:cs="Tahoma"/>
      <w:sz w:val="16"/>
      <w:szCs w:val="16"/>
    </w:rPr>
  </w:style>
  <w:style w:type="character" w:customStyle="1" w:styleId="spelle">
    <w:name w:val="spelle"/>
    <w:basedOn w:val="Policepardfaut"/>
    <w:rsid w:val="00984068"/>
  </w:style>
  <w:style w:type="character" w:customStyle="1" w:styleId="grame">
    <w:name w:val="grame"/>
    <w:basedOn w:val="Policepardfaut"/>
    <w:rsid w:val="00984068"/>
  </w:style>
  <w:style w:type="paragraph" w:styleId="En-tte">
    <w:name w:val="header"/>
    <w:basedOn w:val="Normal"/>
    <w:rsid w:val="002604E8"/>
    <w:pPr>
      <w:tabs>
        <w:tab w:val="center" w:pos="4536"/>
        <w:tab w:val="right" w:pos="9072"/>
      </w:tabs>
    </w:pPr>
  </w:style>
  <w:style w:type="paragraph" w:customStyle="1" w:styleId="Section">
    <w:name w:val="Section"/>
    <w:basedOn w:val="Normal"/>
    <w:rsid w:val="00372124"/>
    <w:pPr>
      <w:keepLines/>
      <w:pBdr>
        <w:top w:val="double" w:sz="6" w:space="8" w:color="auto"/>
        <w:left w:val="double" w:sz="6" w:space="8" w:color="auto"/>
        <w:bottom w:val="double" w:sz="6" w:space="8" w:color="auto"/>
        <w:right w:val="double" w:sz="6" w:space="8" w:color="auto"/>
      </w:pBdr>
      <w:spacing w:before="360"/>
      <w:jc w:val="center"/>
    </w:pPr>
    <w:rPr>
      <w:b/>
      <w:bCs/>
    </w:rPr>
  </w:style>
  <w:style w:type="paragraph" w:customStyle="1" w:styleId="Article">
    <w:name w:val="Article"/>
    <w:basedOn w:val="Normal"/>
    <w:rsid w:val="00372124"/>
    <w:pPr>
      <w:keepLines/>
      <w:pBdr>
        <w:top w:val="single" w:sz="12" w:space="1" w:color="auto" w:shadow="1"/>
        <w:left w:val="single" w:sz="12" w:space="1" w:color="auto" w:shadow="1"/>
        <w:bottom w:val="single" w:sz="12" w:space="1" w:color="auto" w:shadow="1"/>
        <w:right w:val="single" w:sz="12" w:space="1" w:color="auto" w:shadow="1"/>
      </w:pBdr>
      <w:shd w:val="pct20" w:color="auto" w:fill="auto"/>
      <w:spacing w:before="360"/>
      <w:jc w:val="center"/>
    </w:pPr>
    <w:rPr>
      <w:b/>
      <w:bCs/>
    </w:rPr>
  </w:style>
  <w:style w:type="paragraph" w:customStyle="1" w:styleId="Chapitre">
    <w:name w:val="Chapitre"/>
    <w:basedOn w:val="Normal"/>
    <w:rsid w:val="00372124"/>
    <w:pPr>
      <w:keepLines/>
      <w:pageBreakBefore/>
      <w:pBdr>
        <w:top w:val="single" w:sz="12" w:space="1" w:color="auto" w:shadow="1"/>
        <w:left w:val="single" w:sz="12" w:space="1" w:color="auto" w:shadow="1"/>
        <w:bottom w:val="single" w:sz="12" w:space="1" w:color="auto" w:shadow="1"/>
        <w:right w:val="single" w:sz="12" w:space="1" w:color="auto" w:shadow="1"/>
      </w:pBdr>
      <w:shd w:val="pct20" w:color="auto" w:fill="auto"/>
      <w:spacing w:before="240" w:after="240"/>
      <w:jc w:val="center"/>
    </w:pPr>
    <w:rPr>
      <w:rFonts w:ascii="Arial" w:hAnsi="Arial" w:cs="Arial"/>
      <w:b/>
      <w:bCs/>
      <w:spacing w:val="20"/>
      <w:sz w:val="36"/>
      <w:szCs w:val="36"/>
    </w:rPr>
  </w:style>
  <w:style w:type="paragraph" w:customStyle="1" w:styleId="Caractre">
    <w:name w:val="Caractère"/>
    <w:basedOn w:val="Normal"/>
    <w:rsid w:val="00372124"/>
    <w:pPr>
      <w:keepLines/>
      <w:spacing w:before="240"/>
      <w:jc w:val="center"/>
    </w:pPr>
    <w:rPr>
      <w:b/>
      <w:bCs/>
      <w:u w:val="single"/>
    </w:rPr>
  </w:style>
  <w:style w:type="character" w:customStyle="1" w:styleId="surligne">
    <w:name w:val="surligne"/>
    <w:basedOn w:val="Policepardfaut"/>
    <w:rsid w:val="006D75A7"/>
  </w:style>
  <w:style w:type="paragraph" w:styleId="NormalWeb">
    <w:name w:val="Normal (Web)"/>
    <w:basedOn w:val="Normal"/>
    <w:uiPriority w:val="99"/>
    <w:unhideWhenUsed/>
    <w:qFormat/>
    <w:rsid w:val="001E5F3A"/>
    <w:pPr>
      <w:spacing w:before="100" w:beforeAutospacing="1" w:after="100" w:afterAutospacing="1"/>
    </w:pPr>
  </w:style>
  <w:style w:type="paragraph" w:customStyle="1" w:styleId="Listecouleur-Accent11">
    <w:name w:val="Liste couleur - Accent 11"/>
    <w:basedOn w:val="Normal"/>
    <w:uiPriority w:val="34"/>
    <w:qFormat/>
    <w:rsid w:val="008929F1"/>
    <w:pPr>
      <w:ind w:left="708"/>
    </w:pPr>
  </w:style>
  <w:style w:type="character" w:customStyle="1" w:styleId="surlignage">
    <w:name w:val="surlignage"/>
    <w:rsid w:val="00640C70"/>
  </w:style>
  <w:style w:type="character" w:styleId="Marquedecommentaire">
    <w:name w:val="annotation reference"/>
    <w:uiPriority w:val="99"/>
    <w:semiHidden/>
    <w:unhideWhenUsed/>
    <w:rsid w:val="0018089D"/>
    <w:rPr>
      <w:sz w:val="16"/>
      <w:szCs w:val="16"/>
    </w:rPr>
  </w:style>
  <w:style w:type="paragraph" w:styleId="Commentaire">
    <w:name w:val="annotation text"/>
    <w:basedOn w:val="Normal"/>
    <w:link w:val="CommentaireCar"/>
    <w:uiPriority w:val="99"/>
    <w:unhideWhenUsed/>
    <w:rsid w:val="0018089D"/>
    <w:rPr>
      <w:sz w:val="20"/>
      <w:szCs w:val="20"/>
    </w:rPr>
  </w:style>
  <w:style w:type="character" w:customStyle="1" w:styleId="CommentaireCar">
    <w:name w:val="Commentaire Car"/>
    <w:basedOn w:val="Policepardfaut"/>
    <w:link w:val="Commentaire"/>
    <w:uiPriority w:val="99"/>
    <w:rsid w:val="0018089D"/>
  </w:style>
  <w:style w:type="paragraph" w:styleId="Objetducommentaire">
    <w:name w:val="annotation subject"/>
    <w:basedOn w:val="Commentaire"/>
    <w:next w:val="Commentaire"/>
    <w:link w:val="ObjetducommentaireCar"/>
    <w:uiPriority w:val="99"/>
    <w:semiHidden/>
    <w:unhideWhenUsed/>
    <w:rsid w:val="0018089D"/>
    <w:rPr>
      <w:b/>
      <w:bCs/>
    </w:rPr>
  </w:style>
  <w:style w:type="character" w:customStyle="1" w:styleId="ObjetducommentaireCar">
    <w:name w:val="Objet du commentaire Car"/>
    <w:link w:val="Objetducommentaire"/>
    <w:uiPriority w:val="99"/>
    <w:semiHidden/>
    <w:rsid w:val="0018089D"/>
    <w:rPr>
      <w:b/>
      <w:bCs/>
    </w:rPr>
  </w:style>
  <w:style w:type="character" w:customStyle="1" w:styleId="verdana">
    <w:name w:val="verdana"/>
    <w:rsid w:val="005F664B"/>
  </w:style>
  <w:style w:type="character" w:customStyle="1" w:styleId="italic">
    <w:name w:val="italic"/>
    <w:rsid w:val="005F664B"/>
  </w:style>
  <w:style w:type="character" w:styleId="Lienhypertexte">
    <w:name w:val="Hyperlink"/>
    <w:uiPriority w:val="99"/>
    <w:unhideWhenUsed/>
    <w:rsid w:val="005F664B"/>
    <w:rPr>
      <w:color w:val="0000FF"/>
      <w:u w:val="single"/>
    </w:rPr>
  </w:style>
  <w:style w:type="character" w:customStyle="1" w:styleId="highlight">
    <w:name w:val="highlight"/>
    <w:rsid w:val="006C77B1"/>
  </w:style>
  <w:style w:type="character" w:customStyle="1" w:styleId="bold">
    <w:name w:val="bold"/>
    <w:rsid w:val="00B31D48"/>
  </w:style>
  <w:style w:type="character" w:customStyle="1" w:styleId="object">
    <w:name w:val="object"/>
    <w:rsid w:val="00925664"/>
  </w:style>
  <w:style w:type="character" w:styleId="lev">
    <w:name w:val="Strong"/>
    <w:uiPriority w:val="22"/>
    <w:qFormat/>
    <w:rsid w:val="00983B4A"/>
    <w:rPr>
      <w:b/>
      <w:bCs/>
    </w:rPr>
  </w:style>
  <w:style w:type="character" w:styleId="Accentuation">
    <w:name w:val="Emphasis"/>
    <w:qFormat/>
    <w:rsid w:val="00246EA7"/>
    <w:rPr>
      <w:i/>
      <w:iCs/>
    </w:rPr>
  </w:style>
  <w:style w:type="paragraph" w:customStyle="1" w:styleId="loose">
    <w:name w:val="loose"/>
    <w:basedOn w:val="Normal"/>
    <w:rsid w:val="00673CF4"/>
    <w:pPr>
      <w:spacing w:before="100" w:beforeAutospacing="1" w:after="100" w:afterAutospacing="1"/>
    </w:pPr>
  </w:style>
  <w:style w:type="character" w:customStyle="1" w:styleId="hit">
    <w:name w:val="hit"/>
    <w:rsid w:val="00673CF4"/>
  </w:style>
  <w:style w:type="character" w:customStyle="1" w:styleId="blue">
    <w:name w:val="blue"/>
    <w:rsid w:val="00673CF4"/>
  </w:style>
  <w:style w:type="paragraph" w:customStyle="1" w:styleId="xmsonormal">
    <w:name w:val="x_msonormal"/>
    <w:basedOn w:val="Normal"/>
    <w:rsid w:val="00AD1EA2"/>
    <w:pPr>
      <w:spacing w:before="100" w:beforeAutospacing="1" w:after="100" w:afterAutospacing="1"/>
    </w:pPr>
  </w:style>
  <w:style w:type="paragraph" w:styleId="Notedebasdepage">
    <w:name w:val="footnote text"/>
    <w:aliases w:val="single space,footnote text,Sharp - Footnote Text,Footnote Text - Sharp Char Char,Footnote Text - Sharp Char,Fußnotentextf,Fußnotentextr,stile 1,Footnote1,Footnote2,Footnote3,Footnote4,Footnote5,Footnote6,Footnote7,Footnote8,ft,fn"/>
    <w:basedOn w:val="Normal"/>
    <w:link w:val="NotedebasdepageCar"/>
    <w:uiPriority w:val="99"/>
    <w:unhideWhenUsed/>
    <w:qFormat/>
    <w:rsid w:val="00900F74"/>
    <w:rPr>
      <w:sz w:val="20"/>
      <w:szCs w:val="20"/>
    </w:rPr>
  </w:style>
  <w:style w:type="character" w:customStyle="1" w:styleId="NotedebasdepageCar">
    <w:name w:val="Note de bas de page Car"/>
    <w:aliases w:val="single space Car,footnote text Car,Sharp - Footnote Text Car,Footnote Text - Sharp Char Char Car,Footnote Text - Sharp Char Car,Fußnotentextf Car,Fußnotentextr Car,stile 1 Car,Footnote1 Car,Footnote2 Car,Footnote3 Car,ft Car"/>
    <w:basedOn w:val="Policepardfaut"/>
    <w:link w:val="Notedebasdepage"/>
    <w:uiPriority w:val="99"/>
    <w:qFormat/>
    <w:rsid w:val="00900F74"/>
  </w:style>
  <w:style w:type="character" w:styleId="Appelnotedebasdep">
    <w:name w:val="footnote reference"/>
    <w:aliases w:val="Ref,de nota al pie,de nota al pie + (Asian) MS Mincho,11 pt,Footnotes refss,Footnote Ref,16 Point,Superscript 6 Point,Appel note de bas de p,Ref1,de nota al pie1,Ref2,de nota al pie2,Ref3,de nota al pie3,Ref4,de nota al pie4,Ref5"/>
    <w:link w:val="RefCarCarCar"/>
    <w:unhideWhenUsed/>
    <w:qFormat/>
    <w:rsid w:val="00900F74"/>
    <w:rPr>
      <w:vertAlign w:val="superscript"/>
    </w:rPr>
  </w:style>
  <w:style w:type="character" w:customStyle="1" w:styleId="Titre6Car">
    <w:name w:val="Titre 6 Car"/>
    <w:link w:val="Titre6"/>
    <w:rsid w:val="0037326E"/>
    <w:rPr>
      <w:rFonts w:ascii="Cambria" w:hAnsi="Cambria"/>
      <w:i/>
      <w:iCs/>
      <w:color w:val="243F60"/>
      <w:sz w:val="24"/>
      <w:szCs w:val="24"/>
    </w:rPr>
  </w:style>
  <w:style w:type="character" w:customStyle="1" w:styleId="Titre7Car">
    <w:name w:val="Titre 7 Car"/>
    <w:link w:val="Titre7"/>
    <w:rsid w:val="00E0245B"/>
    <w:rPr>
      <w:b/>
      <w:color w:val="000000"/>
      <w:sz w:val="24"/>
    </w:rPr>
  </w:style>
  <w:style w:type="paragraph" w:customStyle="1" w:styleId="Paragraphedeliste1">
    <w:name w:val="Paragraphe de liste1"/>
    <w:basedOn w:val="Normal"/>
    <w:rsid w:val="003C56A6"/>
    <w:pPr>
      <w:spacing w:after="200"/>
      <w:ind w:left="720"/>
    </w:pPr>
    <w:rPr>
      <w:rFonts w:ascii="Cambria" w:hAnsi="Cambria"/>
      <w:lang w:eastAsia="en-US"/>
    </w:rPr>
  </w:style>
  <w:style w:type="character" w:styleId="Lienhypertextesuivivisit">
    <w:name w:val="FollowedHyperlink"/>
    <w:uiPriority w:val="99"/>
    <w:semiHidden/>
    <w:unhideWhenUsed/>
    <w:rsid w:val="004A3F9D"/>
    <w:rPr>
      <w:color w:val="800080"/>
      <w:u w:val="single"/>
    </w:rPr>
  </w:style>
  <w:style w:type="character" w:customStyle="1" w:styleId="documentfirstua">
    <w:name w:val="documentfirstua"/>
    <w:rsid w:val="00B55F93"/>
  </w:style>
  <w:style w:type="paragraph" w:styleId="Paragraphedeliste">
    <w:name w:val="List Paragraph"/>
    <w:basedOn w:val="Normal"/>
    <w:uiPriority w:val="34"/>
    <w:qFormat/>
    <w:rsid w:val="00833CE4"/>
    <w:pPr>
      <w:ind w:left="720"/>
      <w:contextualSpacing/>
    </w:pPr>
  </w:style>
  <w:style w:type="paragraph" w:customStyle="1" w:styleId="m-3458422300501405985m-9075718846092478704gmail-msolistparagraph">
    <w:name w:val="m_-3458422300501405985m_-9075718846092478704gmail-msolistparagraph"/>
    <w:basedOn w:val="Normal"/>
    <w:rsid w:val="00791617"/>
    <w:pPr>
      <w:spacing w:before="100" w:beforeAutospacing="1" w:after="100" w:afterAutospacing="1"/>
    </w:pPr>
    <w:rPr>
      <w:sz w:val="20"/>
      <w:szCs w:val="20"/>
    </w:rPr>
  </w:style>
  <w:style w:type="character" w:customStyle="1" w:styleId="Mentionnonrsolue1">
    <w:name w:val="Mention non résolue1"/>
    <w:basedOn w:val="Policepardfaut"/>
    <w:uiPriority w:val="99"/>
    <w:semiHidden/>
    <w:unhideWhenUsed/>
    <w:rsid w:val="004867C9"/>
    <w:rPr>
      <w:color w:val="605E5C"/>
      <w:shd w:val="clear" w:color="auto" w:fill="E1DFDD"/>
    </w:rPr>
  </w:style>
  <w:style w:type="paragraph" w:customStyle="1" w:styleId="RefCarCarCar">
    <w:name w:val="Ref Car Car Car"/>
    <w:aliases w:val="de nota al pie Car Car Car,BVI fnr Char Car Car Car Car,BVI fnr Char Car Car Car Char Char Car Car Car Car Car,Ref Car Car Car Car Car Car Car Car Car Car Car,f Car Car Car"/>
    <w:basedOn w:val="Normal"/>
    <w:link w:val="Appelnotedebasdep"/>
    <w:rsid w:val="00B61A10"/>
    <w:pPr>
      <w:suppressAutoHyphens/>
    </w:pPr>
    <w:rPr>
      <w:vertAlign w:val="superscript"/>
    </w:rPr>
  </w:style>
  <w:style w:type="character" w:customStyle="1" w:styleId="Caractresdenotedebasdepage">
    <w:name w:val="Caractères de note de bas de page"/>
    <w:rsid w:val="00B61A10"/>
    <w:rPr>
      <w:vertAlign w:val="superscript"/>
    </w:rPr>
  </w:style>
  <w:style w:type="character" w:customStyle="1" w:styleId="apple-converted-space">
    <w:name w:val="apple-converted-space"/>
    <w:basedOn w:val="Policepardfaut"/>
    <w:rsid w:val="00326C87"/>
  </w:style>
  <w:style w:type="paragraph" w:customStyle="1" w:styleId="Standard">
    <w:name w:val="Standard"/>
    <w:rsid w:val="00FF688E"/>
    <w:pPr>
      <w:suppressAutoHyphens/>
      <w:autoSpaceDN w:val="0"/>
      <w:textAlignment w:val="baseline"/>
    </w:pPr>
    <w:rPr>
      <w:rFonts w:ascii="Garamond" w:eastAsia="SimSun" w:hAnsi="Garamond" w:cs="Lucida Sans"/>
      <w:kern w:val="3"/>
      <w:lang w:eastAsia="zh-CN" w:bidi="hi-IN"/>
    </w:rPr>
  </w:style>
  <w:style w:type="paragraph" w:styleId="TM1">
    <w:name w:val="toc 1"/>
    <w:basedOn w:val="Normal"/>
    <w:next w:val="Normal"/>
    <w:autoRedefine/>
    <w:uiPriority w:val="39"/>
    <w:unhideWhenUsed/>
    <w:rsid w:val="00B24106"/>
    <w:pPr>
      <w:tabs>
        <w:tab w:val="right" w:leader="dot" w:pos="9062"/>
      </w:tabs>
      <w:spacing w:before="120" w:after="120"/>
    </w:pPr>
    <w:rPr>
      <w:rFonts w:ascii="Garamond" w:hAnsi="Garamond"/>
      <w:b/>
      <w:bCs/>
      <w:caps/>
      <w:noProof/>
    </w:rPr>
  </w:style>
  <w:style w:type="character" w:customStyle="1" w:styleId="Titre4Car">
    <w:name w:val="Titre 4 Car"/>
    <w:basedOn w:val="Policepardfaut"/>
    <w:link w:val="Titre4"/>
    <w:uiPriority w:val="9"/>
    <w:rsid w:val="0062789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62789F"/>
    <w:rPr>
      <w:rFonts w:asciiTheme="majorHAnsi" w:eastAsiaTheme="majorEastAsia" w:hAnsiTheme="majorHAnsi" w:cstheme="majorBidi"/>
      <w:color w:val="365F91" w:themeColor="accent1" w:themeShade="BF"/>
    </w:rPr>
  </w:style>
  <w:style w:type="paragraph" w:styleId="TM2">
    <w:name w:val="toc 2"/>
    <w:basedOn w:val="Normal"/>
    <w:next w:val="Normal"/>
    <w:autoRedefine/>
    <w:uiPriority w:val="39"/>
    <w:unhideWhenUsed/>
    <w:rsid w:val="00B24106"/>
    <w:pPr>
      <w:tabs>
        <w:tab w:val="left" w:pos="720"/>
        <w:tab w:val="right" w:leader="dot" w:pos="9062"/>
      </w:tabs>
      <w:ind w:left="240"/>
    </w:pPr>
    <w:rPr>
      <w:rFonts w:ascii="Garamond" w:hAnsi="Garamond"/>
      <w:b/>
      <w:bCs/>
      <w:noProof/>
    </w:rPr>
  </w:style>
  <w:style w:type="paragraph" w:styleId="TM3">
    <w:name w:val="toc 3"/>
    <w:basedOn w:val="Normal"/>
    <w:next w:val="Normal"/>
    <w:autoRedefine/>
    <w:uiPriority w:val="39"/>
    <w:unhideWhenUsed/>
    <w:rsid w:val="00796636"/>
    <w:pPr>
      <w:ind w:left="480"/>
    </w:pPr>
    <w:rPr>
      <w:rFonts w:asciiTheme="minorHAnsi" w:hAnsiTheme="minorHAnsi"/>
      <w:i/>
      <w:iCs/>
      <w:sz w:val="20"/>
      <w:szCs w:val="20"/>
    </w:rPr>
  </w:style>
  <w:style w:type="paragraph" w:styleId="TM4">
    <w:name w:val="toc 4"/>
    <w:basedOn w:val="Normal"/>
    <w:next w:val="Normal"/>
    <w:autoRedefine/>
    <w:uiPriority w:val="39"/>
    <w:unhideWhenUsed/>
    <w:rsid w:val="00796636"/>
    <w:pPr>
      <w:ind w:left="720"/>
    </w:pPr>
    <w:rPr>
      <w:rFonts w:asciiTheme="minorHAnsi" w:hAnsiTheme="minorHAnsi"/>
      <w:sz w:val="18"/>
      <w:szCs w:val="18"/>
    </w:rPr>
  </w:style>
  <w:style w:type="paragraph" w:styleId="TM5">
    <w:name w:val="toc 5"/>
    <w:basedOn w:val="Normal"/>
    <w:next w:val="Normal"/>
    <w:autoRedefine/>
    <w:uiPriority w:val="39"/>
    <w:unhideWhenUsed/>
    <w:rsid w:val="00980936"/>
    <w:pPr>
      <w:tabs>
        <w:tab w:val="left" w:pos="1134"/>
        <w:tab w:val="right" w:leader="dot" w:pos="9062"/>
      </w:tabs>
      <w:spacing w:line="252" w:lineRule="auto"/>
      <w:ind w:left="851"/>
    </w:pPr>
    <w:rPr>
      <w:rFonts w:asciiTheme="minorHAnsi" w:hAnsiTheme="minorHAnsi"/>
      <w:sz w:val="18"/>
      <w:szCs w:val="18"/>
    </w:rPr>
  </w:style>
  <w:style w:type="paragraph" w:styleId="TM6">
    <w:name w:val="toc 6"/>
    <w:basedOn w:val="Normal"/>
    <w:next w:val="Normal"/>
    <w:autoRedefine/>
    <w:uiPriority w:val="39"/>
    <w:unhideWhenUsed/>
    <w:rsid w:val="00980936"/>
    <w:pPr>
      <w:tabs>
        <w:tab w:val="right" w:leader="dot" w:pos="9062"/>
      </w:tabs>
      <w:spacing w:line="252" w:lineRule="auto"/>
      <w:ind w:left="1200"/>
    </w:pPr>
    <w:rPr>
      <w:rFonts w:asciiTheme="minorHAnsi" w:hAnsiTheme="minorHAnsi"/>
      <w:sz w:val="18"/>
      <w:szCs w:val="18"/>
    </w:rPr>
  </w:style>
  <w:style w:type="paragraph" w:styleId="TM7">
    <w:name w:val="toc 7"/>
    <w:basedOn w:val="Normal"/>
    <w:next w:val="Normal"/>
    <w:autoRedefine/>
    <w:uiPriority w:val="39"/>
    <w:unhideWhenUsed/>
    <w:rsid w:val="00796636"/>
    <w:pPr>
      <w:ind w:left="1440"/>
    </w:pPr>
    <w:rPr>
      <w:rFonts w:asciiTheme="minorHAnsi" w:hAnsiTheme="minorHAnsi"/>
      <w:sz w:val="18"/>
      <w:szCs w:val="18"/>
    </w:rPr>
  </w:style>
  <w:style w:type="paragraph" w:styleId="TM8">
    <w:name w:val="toc 8"/>
    <w:basedOn w:val="Normal"/>
    <w:next w:val="Normal"/>
    <w:autoRedefine/>
    <w:uiPriority w:val="39"/>
    <w:unhideWhenUsed/>
    <w:rsid w:val="00796636"/>
    <w:pPr>
      <w:ind w:left="1680"/>
    </w:pPr>
    <w:rPr>
      <w:rFonts w:asciiTheme="minorHAnsi" w:hAnsiTheme="minorHAnsi"/>
      <w:sz w:val="18"/>
      <w:szCs w:val="18"/>
    </w:rPr>
  </w:style>
  <w:style w:type="paragraph" w:styleId="TM9">
    <w:name w:val="toc 9"/>
    <w:basedOn w:val="Normal"/>
    <w:next w:val="Normal"/>
    <w:autoRedefine/>
    <w:uiPriority w:val="39"/>
    <w:unhideWhenUsed/>
    <w:rsid w:val="00796636"/>
    <w:pPr>
      <w:ind w:left="1920"/>
    </w:pPr>
    <w:rPr>
      <w:rFonts w:asciiTheme="minorHAnsi" w:hAnsiTheme="minorHAnsi"/>
      <w:sz w:val="18"/>
      <w:szCs w:val="18"/>
    </w:rPr>
  </w:style>
  <w:style w:type="character" w:styleId="Mentionnonrsolue">
    <w:name w:val="Unresolved Mention"/>
    <w:basedOn w:val="Policepardfaut"/>
    <w:uiPriority w:val="99"/>
    <w:semiHidden/>
    <w:unhideWhenUsed/>
    <w:rsid w:val="00794BD7"/>
    <w:rPr>
      <w:color w:val="605E5C"/>
      <w:shd w:val="clear" w:color="auto" w:fill="E1DFDD"/>
    </w:rPr>
  </w:style>
  <w:style w:type="character" w:customStyle="1" w:styleId="Date1">
    <w:name w:val="Date1"/>
    <w:basedOn w:val="Policepardfaut"/>
    <w:rsid w:val="00B3024E"/>
  </w:style>
  <w:style w:type="paragraph" w:customStyle="1" w:styleId="s30eec3f8">
    <w:name w:val="s30eec3f8"/>
    <w:basedOn w:val="Normal"/>
    <w:rsid w:val="006C40E1"/>
    <w:pPr>
      <w:spacing w:before="100" w:beforeAutospacing="1" w:after="100" w:afterAutospacing="1"/>
    </w:pPr>
  </w:style>
  <w:style w:type="character" w:customStyle="1" w:styleId="sb8d990e2">
    <w:name w:val="sb8d990e2"/>
    <w:basedOn w:val="Policepardfaut"/>
    <w:rsid w:val="006C40E1"/>
  </w:style>
  <w:style w:type="character" w:customStyle="1" w:styleId="s6b621b36">
    <w:name w:val="s6b621b36"/>
    <w:basedOn w:val="Policepardfaut"/>
    <w:rsid w:val="006C40E1"/>
  </w:style>
  <w:style w:type="character" w:customStyle="1" w:styleId="hl">
    <w:name w:val="hl"/>
    <w:basedOn w:val="Policepardfaut"/>
    <w:rsid w:val="00812DC6"/>
  </w:style>
  <w:style w:type="character" w:customStyle="1" w:styleId="Titre2Car">
    <w:name w:val="Titre 2 Car"/>
    <w:basedOn w:val="Policepardfaut"/>
    <w:link w:val="Titre2"/>
    <w:rsid w:val="00AE7E2D"/>
    <w:rPr>
      <w:b/>
      <w:bCs/>
      <w:sz w:val="28"/>
      <w:szCs w:val="28"/>
    </w:rPr>
  </w:style>
  <w:style w:type="character" w:customStyle="1" w:styleId="srvrlnk">
    <w:name w:val="srvrlnk"/>
    <w:basedOn w:val="Policepardfaut"/>
    <w:rsid w:val="0050000B"/>
  </w:style>
  <w:style w:type="table" w:styleId="Grilledutableau">
    <w:name w:val="Table Grid"/>
    <w:basedOn w:val="TableauNormal"/>
    <w:uiPriority w:val="39"/>
    <w:rsid w:val="00A76C93"/>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25">
    <w:name w:val="stl_25"/>
    <w:basedOn w:val="Policepardfaut"/>
    <w:rsid w:val="004746BB"/>
  </w:style>
  <w:style w:type="character" w:customStyle="1" w:styleId="stl19">
    <w:name w:val="stl_19"/>
    <w:basedOn w:val="Policepardfaut"/>
    <w:rsid w:val="0047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82">
      <w:bodyDiv w:val="1"/>
      <w:marLeft w:val="0"/>
      <w:marRight w:val="0"/>
      <w:marTop w:val="0"/>
      <w:marBottom w:val="0"/>
      <w:divBdr>
        <w:top w:val="none" w:sz="0" w:space="0" w:color="auto"/>
        <w:left w:val="none" w:sz="0" w:space="0" w:color="auto"/>
        <w:bottom w:val="none" w:sz="0" w:space="0" w:color="auto"/>
        <w:right w:val="none" w:sz="0" w:space="0" w:color="auto"/>
      </w:divBdr>
      <w:divsChild>
        <w:div w:id="892237515">
          <w:marLeft w:val="0"/>
          <w:marRight w:val="0"/>
          <w:marTop w:val="0"/>
          <w:marBottom w:val="0"/>
          <w:divBdr>
            <w:top w:val="none" w:sz="0" w:space="0" w:color="auto"/>
            <w:left w:val="none" w:sz="0" w:space="0" w:color="auto"/>
            <w:bottom w:val="none" w:sz="0" w:space="0" w:color="auto"/>
            <w:right w:val="none" w:sz="0" w:space="0" w:color="auto"/>
          </w:divBdr>
          <w:divsChild>
            <w:div w:id="1483617639">
              <w:marLeft w:val="0"/>
              <w:marRight w:val="0"/>
              <w:marTop w:val="0"/>
              <w:marBottom w:val="0"/>
              <w:divBdr>
                <w:top w:val="none" w:sz="0" w:space="0" w:color="auto"/>
                <w:left w:val="none" w:sz="0" w:space="0" w:color="auto"/>
                <w:bottom w:val="none" w:sz="0" w:space="0" w:color="auto"/>
                <w:right w:val="none" w:sz="0" w:space="0" w:color="auto"/>
              </w:divBdr>
              <w:divsChild>
                <w:div w:id="1634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28722390">
      <w:bodyDiv w:val="1"/>
      <w:marLeft w:val="0"/>
      <w:marRight w:val="0"/>
      <w:marTop w:val="0"/>
      <w:marBottom w:val="0"/>
      <w:divBdr>
        <w:top w:val="none" w:sz="0" w:space="0" w:color="auto"/>
        <w:left w:val="none" w:sz="0" w:space="0" w:color="auto"/>
        <w:bottom w:val="none" w:sz="0" w:space="0" w:color="auto"/>
        <w:right w:val="none" w:sz="0" w:space="0" w:color="auto"/>
      </w:divBdr>
    </w:div>
    <w:div w:id="32342004">
      <w:bodyDiv w:val="1"/>
      <w:marLeft w:val="0"/>
      <w:marRight w:val="0"/>
      <w:marTop w:val="0"/>
      <w:marBottom w:val="0"/>
      <w:divBdr>
        <w:top w:val="none" w:sz="0" w:space="0" w:color="auto"/>
        <w:left w:val="none" w:sz="0" w:space="0" w:color="auto"/>
        <w:bottom w:val="none" w:sz="0" w:space="0" w:color="auto"/>
        <w:right w:val="none" w:sz="0" w:space="0" w:color="auto"/>
      </w:divBdr>
    </w:div>
    <w:div w:id="36586972">
      <w:bodyDiv w:val="1"/>
      <w:marLeft w:val="0"/>
      <w:marRight w:val="0"/>
      <w:marTop w:val="0"/>
      <w:marBottom w:val="0"/>
      <w:divBdr>
        <w:top w:val="none" w:sz="0" w:space="0" w:color="auto"/>
        <w:left w:val="none" w:sz="0" w:space="0" w:color="auto"/>
        <w:bottom w:val="none" w:sz="0" w:space="0" w:color="auto"/>
        <w:right w:val="none" w:sz="0" w:space="0" w:color="auto"/>
      </w:divBdr>
    </w:div>
    <w:div w:id="36978863">
      <w:bodyDiv w:val="1"/>
      <w:marLeft w:val="0"/>
      <w:marRight w:val="0"/>
      <w:marTop w:val="0"/>
      <w:marBottom w:val="0"/>
      <w:divBdr>
        <w:top w:val="none" w:sz="0" w:space="0" w:color="auto"/>
        <w:left w:val="none" w:sz="0" w:space="0" w:color="auto"/>
        <w:bottom w:val="none" w:sz="0" w:space="0" w:color="auto"/>
        <w:right w:val="none" w:sz="0" w:space="0" w:color="auto"/>
      </w:divBdr>
      <w:divsChild>
        <w:div w:id="1987927400">
          <w:marLeft w:val="0"/>
          <w:marRight w:val="0"/>
          <w:marTop w:val="0"/>
          <w:marBottom w:val="0"/>
          <w:divBdr>
            <w:top w:val="none" w:sz="0" w:space="0" w:color="auto"/>
            <w:left w:val="none" w:sz="0" w:space="0" w:color="auto"/>
            <w:bottom w:val="none" w:sz="0" w:space="0" w:color="auto"/>
            <w:right w:val="none" w:sz="0" w:space="0" w:color="auto"/>
          </w:divBdr>
          <w:divsChild>
            <w:div w:id="432020445">
              <w:marLeft w:val="0"/>
              <w:marRight w:val="0"/>
              <w:marTop w:val="0"/>
              <w:marBottom w:val="0"/>
              <w:divBdr>
                <w:top w:val="none" w:sz="0" w:space="0" w:color="auto"/>
                <w:left w:val="none" w:sz="0" w:space="0" w:color="auto"/>
                <w:bottom w:val="none" w:sz="0" w:space="0" w:color="auto"/>
                <w:right w:val="none" w:sz="0" w:space="0" w:color="auto"/>
              </w:divBdr>
              <w:divsChild>
                <w:div w:id="14322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9860">
      <w:bodyDiv w:val="1"/>
      <w:marLeft w:val="0"/>
      <w:marRight w:val="0"/>
      <w:marTop w:val="0"/>
      <w:marBottom w:val="0"/>
      <w:divBdr>
        <w:top w:val="none" w:sz="0" w:space="0" w:color="auto"/>
        <w:left w:val="none" w:sz="0" w:space="0" w:color="auto"/>
        <w:bottom w:val="none" w:sz="0" w:space="0" w:color="auto"/>
        <w:right w:val="none" w:sz="0" w:space="0" w:color="auto"/>
      </w:divBdr>
      <w:divsChild>
        <w:div w:id="82922481">
          <w:marLeft w:val="0"/>
          <w:marRight w:val="0"/>
          <w:marTop w:val="0"/>
          <w:marBottom w:val="0"/>
          <w:divBdr>
            <w:top w:val="none" w:sz="0" w:space="0" w:color="auto"/>
            <w:left w:val="none" w:sz="0" w:space="0" w:color="auto"/>
            <w:bottom w:val="none" w:sz="0" w:space="0" w:color="auto"/>
            <w:right w:val="none" w:sz="0" w:space="0" w:color="auto"/>
          </w:divBdr>
        </w:div>
        <w:div w:id="1670937308">
          <w:marLeft w:val="0"/>
          <w:marRight w:val="0"/>
          <w:marTop w:val="0"/>
          <w:marBottom w:val="0"/>
          <w:divBdr>
            <w:top w:val="none" w:sz="0" w:space="0" w:color="auto"/>
            <w:left w:val="none" w:sz="0" w:space="0" w:color="auto"/>
            <w:bottom w:val="none" w:sz="0" w:space="0" w:color="auto"/>
            <w:right w:val="none" w:sz="0" w:space="0" w:color="auto"/>
          </w:divBdr>
        </w:div>
        <w:div w:id="1913467861">
          <w:marLeft w:val="0"/>
          <w:marRight w:val="0"/>
          <w:marTop w:val="0"/>
          <w:marBottom w:val="0"/>
          <w:divBdr>
            <w:top w:val="none" w:sz="0" w:space="0" w:color="auto"/>
            <w:left w:val="none" w:sz="0" w:space="0" w:color="auto"/>
            <w:bottom w:val="none" w:sz="0" w:space="0" w:color="auto"/>
            <w:right w:val="none" w:sz="0" w:space="0" w:color="auto"/>
          </w:divBdr>
        </w:div>
      </w:divsChild>
    </w:div>
    <w:div w:id="46491642">
      <w:bodyDiv w:val="1"/>
      <w:marLeft w:val="0"/>
      <w:marRight w:val="0"/>
      <w:marTop w:val="0"/>
      <w:marBottom w:val="0"/>
      <w:divBdr>
        <w:top w:val="none" w:sz="0" w:space="0" w:color="auto"/>
        <w:left w:val="none" w:sz="0" w:space="0" w:color="auto"/>
        <w:bottom w:val="none" w:sz="0" w:space="0" w:color="auto"/>
        <w:right w:val="none" w:sz="0" w:space="0" w:color="auto"/>
      </w:divBdr>
    </w:div>
    <w:div w:id="46732369">
      <w:bodyDiv w:val="1"/>
      <w:marLeft w:val="0"/>
      <w:marRight w:val="0"/>
      <w:marTop w:val="0"/>
      <w:marBottom w:val="0"/>
      <w:divBdr>
        <w:top w:val="none" w:sz="0" w:space="0" w:color="auto"/>
        <w:left w:val="none" w:sz="0" w:space="0" w:color="auto"/>
        <w:bottom w:val="none" w:sz="0" w:space="0" w:color="auto"/>
        <w:right w:val="none" w:sz="0" w:space="0" w:color="auto"/>
      </w:divBdr>
    </w:div>
    <w:div w:id="49037628">
      <w:bodyDiv w:val="1"/>
      <w:marLeft w:val="0"/>
      <w:marRight w:val="0"/>
      <w:marTop w:val="0"/>
      <w:marBottom w:val="0"/>
      <w:divBdr>
        <w:top w:val="none" w:sz="0" w:space="0" w:color="auto"/>
        <w:left w:val="none" w:sz="0" w:space="0" w:color="auto"/>
        <w:bottom w:val="none" w:sz="0" w:space="0" w:color="auto"/>
        <w:right w:val="none" w:sz="0" w:space="0" w:color="auto"/>
      </w:divBdr>
    </w:div>
    <w:div w:id="49229713">
      <w:bodyDiv w:val="1"/>
      <w:marLeft w:val="0"/>
      <w:marRight w:val="0"/>
      <w:marTop w:val="0"/>
      <w:marBottom w:val="0"/>
      <w:divBdr>
        <w:top w:val="none" w:sz="0" w:space="0" w:color="auto"/>
        <w:left w:val="none" w:sz="0" w:space="0" w:color="auto"/>
        <w:bottom w:val="none" w:sz="0" w:space="0" w:color="auto"/>
        <w:right w:val="none" w:sz="0" w:space="0" w:color="auto"/>
      </w:divBdr>
      <w:divsChild>
        <w:div w:id="482546386">
          <w:marLeft w:val="0"/>
          <w:marRight w:val="0"/>
          <w:marTop w:val="0"/>
          <w:marBottom w:val="0"/>
          <w:divBdr>
            <w:top w:val="none" w:sz="0" w:space="0" w:color="auto"/>
            <w:left w:val="none" w:sz="0" w:space="0" w:color="auto"/>
            <w:bottom w:val="none" w:sz="0" w:space="0" w:color="auto"/>
            <w:right w:val="none" w:sz="0" w:space="0" w:color="auto"/>
          </w:divBdr>
          <w:divsChild>
            <w:div w:id="2077702759">
              <w:marLeft w:val="0"/>
              <w:marRight w:val="0"/>
              <w:marTop w:val="0"/>
              <w:marBottom w:val="0"/>
              <w:divBdr>
                <w:top w:val="none" w:sz="0" w:space="0" w:color="auto"/>
                <w:left w:val="none" w:sz="0" w:space="0" w:color="auto"/>
                <w:bottom w:val="none" w:sz="0" w:space="0" w:color="auto"/>
                <w:right w:val="none" w:sz="0" w:space="0" w:color="auto"/>
              </w:divBdr>
              <w:divsChild>
                <w:div w:id="156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7981">
      <w:bodyDiv w:val="1"/>
      <w:marLeft w:val="0"/>
      <w:marRight w:val="0"/>
      <w:marTop w:val="0"/>
      <w:marBottom w:val="0"/>
      <w:divBdr>
        <w:top w:val="none" w:sz="0" w:space="0" w:color="auto"/>
        <w:left w:val="none" w:sz="0" w:space="0" w:color="auto"/>
        <w:bottom w:val="none" w:sz="0" w:space="0" w:color="auto"/>
        <w:right w:val="none" w:sz="0" w:space="0" w:color="auto"/>
      </w:divBdr>
    </w:div>
    <w:div w:id="61877647">
      <w:bodyDiv w:val="1"/>
      <w:marLeft w:val="0"/>
      <w:marRight w:val="0"/>
      <w:marTop w:val="0"/>
      <w:marBottom w:val="0"/>
      <w:divBdr>
        <w:top w:val="none" w:sz="0" w:space="0" w:color="auto"/>
        <w:left w:val="none" w:sz="0" w:space="0" w:color="auto"/>
        <w:bottom w:val="none" w:sz="0" w:space="0" w:color="auto"/>
        <w:right w:val="none" w:sz="0" w:space="0" w:color="auto"/>
      </w:divBdr>
    </w:div>
    <w:div w:id="64106244">
      <w:bodyDiv w:val="1"/>
      <w:marLeft w:val="0"/>
      <w:marRight w:val="0"/>
      <w:marTop w:val="0"/>
      <w:marBottom w:val="0"/>
      <w:divBdr>
        <w:top w:val="none" w:sz="0" w:space="0" w:color="auto"/>
        <w:left w:val="none" w:sz="0" w:space="0" w:color="auto"/>
        <w:bottom w:val="none" w:sz="0" w:space="0" w:color="auto"/>
        <w:right w:val="none" w:sz="0" w:space="0" w:color="auto"/>
      </w:divBdr>
    </w:div>
    <w:div w:id="64256978">
      <w:bodyDiv w:val="1"/>
      <w:marLeft w:val="0"/>
      <w:marRight w:val="0"/>
      <w:marTop w:val="0"/>
      <w:marBottom w:val="0"/>
      <w:divBdr>
        <w:top w:val="none" w:sz="0" w:space="0" w:color="auto"/>
        <w:left w:val="none" w:sz="0" w:space="0" w:color="auto"/>
        <w:bottom w:val="none" w:sz="0" w:space="0" w:color="auto"/>
        <w:right w:val="none" w:sz="0" w:space="0" w:color="auto"/>
      </w:divBdr>
    </w:div>
    <w:div w:id="67924063">
      <w:bodyDiv w:val="1"/>
      <w:marLeft w:val="0"/>
      <w:marRight w:val="0"/>
      <w:marTop w:val="0"/>
      <w:marBottom w:val="0"/>
      <w:divBdr>
        <w:top w:val="none" w:sz="0" w:space="0" w:color="auto"/>
        <w:left w:val="none" w:sz="0" w:space="0" w:color="auto"/>
        <w:bottom w:val="none" w:sz="0" w:space="0" w:color="auto"/>
        <w:right w:val="none" w:sz="0" w:space="0" w:color="auto"/>
      </w:divBdr>
    </w:div>
    <w:div w:id="68161625">
      <w:bodyDiv w:val="1"/>
      <w:marLeft w:val="0"/>
      <w:marRight w:val="0"/>
      <w:marTop w:val="0"/>
      <w:marBottom w:val="0"/>
      <w:divBdr>
        <w:top w:val="none" w:sz="0" w:space="0" w:color="auto"/>
        <w:left w:val="none" w:sz="0" w:space="0" w:color="auto"/>
        <w:bottom w:val="none" w:sz="0" w:space="0" w:color="auto"/>
        <w:right w:val="none" w:sz="0" w:space="0" w:color="auto"/>
      </w:divBdr>
    </w:div>
    <w:div w:id="73287820">
      <w:bodyDiv w:val="1"/>
      <w:marLeft w:val="0"/>
      <w:marRight w:val="0"/>
      <w:marTop w:val="0"/>
      <w:marBottom w:val="0"/>
      <w:divBdr>
        <w:top w:val="none" w:sz="0" w:space="0" w:color="auto"/>
        <w:left w:val="none" w:sz="0" w:space="0" w:color="auto"/>
        <w:bottom w:val="none" w:sz="0" w:space="0" w:color="auto"/>
        <w:right w:val="none" w:sz="0" w:space="0" w:color="auto"/>
      </w:divBdr>
      <w:divsChild>
        <w:div w:id="505437461">
          <w:marLeft w:val="0"/>
          <w:marRight w:val="0"/>
          <w:marTop w:val="0"/>
          <w:marBottom w:val="0"/>
          <w:divBdr>
            <w:top w:val="none" w:sz="0" w:space="0" w:color="auto"/>
            <w:left w:val="none" w:sz="0" w:space="0" w:color="auto"/>
            <w:bottom w:val="none" w:sz="0" w:space="0" w:color="auto"/>
            <w:right w:val="none" w:sz="0" w:space="0" w:color="auto"/>
          </w:divBdr>
        </w:div>
      </w:divsChild>
    </w:div>
    <w:div w:id="80496406">
      <w:bodyDiv w:val="1"/>
      <w:marLeft w:val="0"/>
      <w:marRight w:val="0"/>
      <w:marTop w:val="0"/>
      <w:marBottom w:val="0"/>
      <w:divBdr>
        <w:top w:val="none" w:sz="0" w:space="0" w:color="auto"/>
        <w:left w:val="none" w:sz="0" w:space="0" w:color="auto"/>
        <w:bottom w:val="none" w:sz="0" w:space="0" w:color="auto"/>
        <w:right w:val="none" w:sz="0" w:space="0" w:color="auto"/>
      </w:divBdr>
    </w:div>
    <w:div w:id="104007857">
      <w:bodyDiv w:val="1"/>
      <w:marLeft w:val="0"/>
      <w:marRight w:val="0"/>
      <w:marTop w:val="0"/>
      <w:marBottom w:val="0"/>
      <w:divBdr>
        <w:top w:val="none" w:sz="0" w:space="0" w:color="auto"/>
        <w:left w:val="none" w:sz="0" w:space="0" w:color="auto"/>
        <w:bottom w:val="none" w:sz="0" w:space="0" w:color="auto"/>
        <w:right w:val="none" w:sz="0" w:space="0" w:color="auto"/>
      </w:divBdr>
    </w:div>
    <w:div w:id="106001612">
      <w:bodyDiv w:val="1"/>
      <w:marLeft w:val="0"/>
      <w:marRight w:val="0"/>
      <w:marTop w:val="0"/>
      <w:marBottom w:val="0"/>
      <w:divBdr>
        <w:top w:val="none" w:sz="0" w:space="0" w:color="auto"/>
        <w:left w:val="none" w:sz="0" w:space="0" w:color="auto"/>
        <w:bottom w:val="none" w:sz="0" w:space="0" w:color="auto"/>
        <w:right w:val="none" w:sz="0" w:space="0" w:color="auto"/>
      </w:divBdr>
    </w:div>
    <w:div w:id="113720393">
      <w:bodyDiv w:val="1"/>
      <w:marLeft w:val="0"/>
      <w:marRight w:val="0"/>
      <w:marTop w:val="0"/>
      <w:marBottom w:val="0"/>
      <w:divBdr>
        <w:top w:val="none" w:sz="0" w:space="0" w:color="auto"/>
        <w:left w:val="none" w:sz="0" w:space="0" w:color="auto"/>
        <w:bottom w:val="none" w:sz="0" w:space="0" w:color="auto"/>
        <w:right w:val="none" w:sz="0" w:space="0" w:color="auto"/>
      </w:divBdr>
    </w:div>
    <w:div w:id="119617520">
      <w:bodyDiv w:val="1"/>
      <w:marLeft w:val="0"/>
      <w:marRight w:val="0"/>
      <w:marTop w:val="0"/>
      <w:marBottom w:val="0"/>
      <w:divBdr>
        <w:top w:val="none" w:sz="0" w:space="0" w:color="auto"/>
        <w:left w:val="none" w:sz="0" w:space="0" w:color="auto"/>
        <w:bottom w:val="none" w:sz="0" w:space="0" w:color="auto"/>
        <w:right w:val="none" w:sz="0" w:space="0" w:color="auto"/>
      </w:divBdr>
    </w:div>
    <w:div w:id="127864949">
      <w:bodyDiv w:val="1"/>
      <w:marLeft w:val="0"/>
      <w:marRight w:val="0"/>
      <w:marTop w:val="0"/>
      <w:marBottom w:val="0"/>
      <w:divBdr>
        <w:top w:val="none" w:sz="0" w:space="0" w:color="auto"/>
        <w:left w:val="none" w:sz="0" w:space="0" w:color="auto"/>
        <w:bottom w:val="none" w:sz="0" w:space="0" w:color="auto"/>
        <w:right w:val="none" w:sz="0" w:space="0" w:color="auto"/>
      </w:divBdr>
    </w:div>
    <w:div w:id="130177355">
      <w:bodyDiv w:val="1"/>
      <w:marLeft w:val="0"/>
      <w:marRight w:val="0"/>
      <w:marTop w:val="0"/>
      <w:marBottom w:val="0"/>
      <w:divBdr>
        <w:top w:val="none" w:sz="0" w:space="0" w:color="auto"/>
        <w:left w:val="none" w:sz="0" w:space="0" w:color="auto"/>
        <w:bottom w:val="none" w:sz="0" w:space="0" w:color="auto"/>
        <w:right w:val="none" w:sz="0" w:space="0" w:color="auto"/>
      </w:divBdr>
    </w:div>
    <w:div w:id="132607037">
      <w:bodyDiv w:val="1"/>
      <w:marLeft w:val="0"/>
      <w:marRight w:val="0"/>
      <w:marTop w:val="0"/>
      <w:marBottom w:val="0"/>
      <w:divBdr>
        <w:top w:val="none" w:sz="0" w:space="0" w:color="auto"/>
        <w:left w:val="none" w:sz="0" w:space="0" w:color="auto"/>
        <w:bottom w:val="none" w:sz="0" w:space="0" w:color="auto"/>
        <w:right w:val="none" w:sz="0" w:space="0" w:color="auto"/>
      </w:divBdr>
      <w:divsChild>
        <w:div w:id="534083275">
          <w:marLeft w:val="0"/>
          <w:marRight w:val="0"/>
          <w:marTop w:val="0"/>
          <w:marBottom w:val="0"/>
          <w:divBdr>
            <w:top w:val="none" w:sz="0" w:space="0" w:color="auto"/>
            <w:left w:val="none" w:sz="0" w:space="0" w:color="auto"/>
            <w:bottom w:val="none" w:sz="0" w:space="0" w:color="auto"/>
            <w:right w:val="none" w:sz="0" w:space="0" w:color="auto"/>
          </w:divBdr>
          <w:divsChild>
            <w:div w:id="1680233732">
              <w:marLeft w:val="0"/>
              <w:marRight w:val="0"/>
              <w:marTop w:val="0"/>
              <w:marBottom w:val="0"/>
              <w:divBdr>
                <w:top w:val="none" w:sz="0" w:space="0" w:color="auto"/>
                <w:left w:val="none" w:sz="0" w:space="0" w:color="auto"/>
                <w:bottom w:val="none" w:sz="0" w:space="0" w:color="auto"/>
                <w:right w:val="none" w:sz="0" w:space="0" w:color="auto"/>
              </w:divBdr>
              <w:divsChild>
                <w:div w:id="65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388">
      <w:bodyDiv w:val="1"/>
      <w:marLeft w:val="0"/>
      <w:marRight w:val="0"/>
      <w:marTop w:val="0"/>
      <w:marBottom w:val="0"/>
      <w:divBdr>
        <w:top w:val="none" w:sz="0" w:space="0" w:color="auto"/>
        <w:left w:val="none" w:sz="0" w:space="0" w:color="auto"/>
        <w:bottom w:val="none" w:sz="0" w:space="0" w:color="auto"/>
        <w:right w:val="none" w:sz="0" w:space="0" w:color="auto"/>
      </w:divBdr>
      <w:divsChild>
        <w:div w:id="1315184233">
          <w:marLeft w:val="0"/>
          <w:marRight w:val="0"/>
          <w:marTop w:val="0"/>
          <w:marBottom w:val="0"/>
          <w:divBdr>
            <w:top w:val="none" w:sz="0" w:space="0" w:color="auto"/>
            <w:left w:val="none" w:sz="0" w:space="0" w:color="auto"/>
            <w:bottom w:val="none" w:sz="0" w:space="0" w:color="auto"/>
            <w:right w:val="none" w:sz="0" w:space="0" w:color="auto"/>
          </w:divBdr>
        </w:div>
        <w:div w:id="1166020879">
          <w:marLeft w:val="0"/>
          <w:marRight w:val="0"/>
          <w:marTop w:val="0"/>
          <w:marBottom w:val="0"/>
          <w:divBdr>
            <w:top w:val="none" w:sz="0" w:space="0" w:color="auto"/>
            <w:left w:val="none" w:sz="0" w:space="0" w:color="auto"/>
            <w:bottom w:val="none" w:sz="0" w:space="0" w:color="auto"/>
            <w:right w:val="none" w:sz="0" w:space="0" w:color="auto"/>
          </w:divBdr>
        </w:div>
        <w:div w:id="2076658533">
          <w:marLeft w:val="0"/>
          <w:marRight w:val="0"/>
          <w:marTop w:val="0"/>
          <w:marBottom w:val="0"/>
          <w:divBdr>
            <w:top w:val="none" w:sz="0" w:space="0" w:color="auto"/>
            <w:left w:val="none" w:sz="0" w:space="0" w:color="auto"/>
            <w:bottom w:val="none" w:sz="0" w:space="0" w:color="auto"/>
            <w:right w:val="none" w:sz="0" w:space="0" w:color="auto"/>
          </w:divBdr>
        </w:div>
        <w:div w:id="2065714478">
          <w:marLeft w:val="0"/>
          <w:marRight w:val="0"/>
          <w:marTop w:val="0"/>
          <w:marBottom w:val="0"/>
          <w:divBdr>
            <w:top w:val="none" w:sz="0" w:space="0" w:color="auto"/>
            <w:left w:val="none" w:sz="0" w:space="0" w:color="auto"/>
            <w:bottom w:val="none" w:sz="0" w:space="0" w:color="auto"/>
            <w:right w:val="none" w:sz="0" w:space="0" w:color="auto"/>
          </w:divBdr>
        </w:div>
        <w:div w:id="2140342563">
          <w:marLeft w:val="0"/>
          <w:marRight w:val="0"/>
          <w:marTop w:val="0"/>
          <w:marBottom w:val="0"/>
          <w:divBdr>
            <w:top w:val="none" w:sz="0" w:space="0" w:color="auto"/>
            <w:left w:val="none" w:sz="0" w:space="0" w:color="auto"/>
            <w:bottom w:val="none" w:sz="0" w:space="0" w:color="auto"/>
            <w:right w:val="none" w:sz="0" w:space="0" w:color="auto"/>
          </w:divBdr>
        </w:div>
      </w:divsChild>
    </w:div>
    <w:div w:id="158010044">
      <w:bodyDiv w:val="1"/>
      <w:marLeft w:val="0"/>
      <w:marRight w:val="0"/>
      <w:marTop w:val="0"/>
      <w:marBottom w:val="0"/>
      <w:divBdr>
        <w:top w:val="none" w:sz="0" w:space="0" w:color="auto"/>
        <w:left w:val="none" w:sz="0" w:space="0" w:color="auto"/>
        <w:bottom w:val="none" w:sz="0" w:space="0" w:color="auto"/>
        <w:right w:val="none" w:sz="0" w:space="0" w:color="auto"/>
      </w:divBdr>
      <w:divsChild>
        <w:div w:id="587889656">
          <w:marLeft w:val="1440"/>
          <w:marRight w:val="0"/>
          <w:marTop w:val="0"/>
          <w:marBottom w:val="0"/>
          <w:divBdr>
            <w:top w:val="none" w:sz="0" w:space="0" w:color="auto"/>
            <w:left w:val="none" w:sz="0" w:space="0" w:color="auto"/>
            <w:bottom w:val="none" w:sz="0" w:space="0" w:color="auto"/>
            <w:right w:val="none" w:sz="0" w:space="0" w:color="auto"/>
          </w:divBdr>
        </w:div>
        <w:div w:id="665060731">
          <w:marLeft w:val="1440"/>
          <w:marRight w:val="0"/>
          <w:marTop w:val="0"/>
          <w:marBottom w:val="0"/>
          <w:divBdr>
            <w:top w:val="none" w:sz="0" w:space="0" w:color="auto"/>
            <w:left w:val="none" w:sz="0" w:space="0" w:color="auto"/>
            <w:bottom w:val="none" w:sz="0" w:space="0" w:color="auto"/>
            <w:right w:val="none" w:sz="0" w:space="0" w:color="auto"/>
          </w:divBdr>
        </w:div>
        <w:div w:id="1260456132">
          <w:marLeft w:val="1440"/>
          <w:marRight w:val="0"/>
          <w:marTop w:val="0"/>
          <w:marBottom w:val="0"/>
          <w:divBdr>
            <w:top w:val="none" w:sz="0" w:space="0" w:color="auto"/>
            <w:left w:val="none" w:sz="0" w:space="0" w:color="auto"/>
            <w:bottom w:val="none" w:sz="0" w:space="0" w:color="auto"/>
            <w:right w:val="none" w:sz="0" w:space="0" w:color="auto"/>
          </w:divBdr>
        </w:div>
        <w:div w:id="1278490599">
          <w:marLeft w:val="1440"/>
          <w:marRight w:val="0"/>
          <w:marTop w:val="0"/>
          <w:marBottom w:val="0"/>
          <w:divBdr>
            <w:top w:val="none" w:sz="0" w:space="0" w:color="auto"/>
            <w:left w:val="none" w:sz="0" w:space="0" w:color="auto"/>
            <w:bottom w:val="none" w:sz="0" w:space="0" w:color="auto"/>
            <w:right w:val="none" w:sz="0" w:space="0" w:color="auto"/>
          </w:divBdr>
        </w:div>
        <w:div w:id="1441990311">
          <w:marLeft w:val="720"/>
          <w:marRight w:val="0"/>
          <w:marTop w:val="0"/>
          <w:marBottom w:val="0"/>
          <w:divBdr>
            <w:top w:val="none" w:sz="0" w:space="0" w:color="auto"/>
            <w:left w:val="none" w:sz="0" w:space="0" w:color="auto"/>
            <w:bottom w:val="none" w:sz="0" w:space="0" w:color="auto"/>
            <w:right w:val="none" w:sz="0" w:space="0" w:color="auto"/>
          </w:divBdr>
        </w:div>
        <w:div w:id="1445734270">
          <w:marLeft w:val="1440"/>
          <w:marRight w:val="0"/>
          <w:marTop w:val="0"/>
          <w:marBottom w:val="0"/>
          <w:divBdr>
            <w:top w:val="none" w:sz="0" w:space="0" w:color="auto"/>
            <w:left w:val="none" w:sz="0" w:space="0" w:color="auto"/>
            <w:bottom w:val="none" w:sz="0" w:space="0" w:color="auto"/>
            <w:right w:val="none" w:sz="0" w:space="0" w:color="auto"/>
          </w:divBdr>
        </w:div>
      </w:divsChild>
    </w:div>
    <w:div w:id="159664696">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163325386">
      <w:bodyDiv w:val="1"/>
      <w:marLeft w:val="0"/>
      <w:marRight w:val="0"/>
      <w:marTop w:val="0"/>
      <w:marBottom w:val="0"/>
      <w:divBdr>
        <w:top w:val="none" w:sz="0" w:space="0" w:color="auto"/>
        <w:left w:val="none" w:sz="0" w:space="0" w:color="auto"/>
        <w:bottom w:val="none" w:sz="0" w:space="0" w:color="auto"/>
        <w:right w:val="none" w:sz="0" w:space="0" w:color="auto"/>
      </w:divBdr>
    </w:div>
    <w:div w:id="165286604">
      <w:bodyDiv w:val="1"/>
      <w:marLeft w:val="0"/>
      <w:marRight w:val="0"/>
      <w:marTop w:val="0"/>
      <w:marBottom w:val="0"/>
      <w:divBdr>
        <w:top w:val="none" w:sz="0" w:space="0" w:color="auto"/>
        <w:left w:val="none" w:sz="0" w:space="0" w:color="auto"/>
        <w:bottom w:val="none" w:sz="0" w:space="0" w:color="auto"/>
        <w:right w:val="none" w:sz="0" w:space="0" w:color="auto"/>
      </w:divBdr>
    </w:div>
    <w:div w:id="170796724">
      <w:bodyDiv w:val="1"/>
      <w:marLeft w:val="0"/>
      <w:marRight w:val="0"/>
      <w:marTop w:val="0"/>
      <w:marBottom w:val="0"/>
      <w:divBdr>
        <w:top w:val="none" w:sz="0" w:space="0" w:color="auto"/>
        <w:left w:val="none" w:sz="0" w:space="0" w:color="auto"/>
        <w:bottom w:val="none" w:sz="0" w:space="0" w:color="auto"/>
        <w:right w:val="none" w:sz="0" w:space="0" w:color="auto"/>
      </w:divBdr>
    </w:div>
    <w:div w:id="174809128">
      <w:bodyDiv w:val="1"/>
      <w:marLeft w:val="0"/>
      <w:marRight w:val="0"/>
      <w:marTop w:val="0"/>
      <w:marBottom w:val="0"/>
      <w:divBdr>
        <w:top w:val="none" w:sz="0" w:space="0" w:color="auto"/>
        <w:left w:val="none" w:sz="0" w:space="0" w:color="auto"/>
        <w:bottom w:val="none" w:sz="0" w:space="0" w:color="auto"/>
        <w:right w:val="none" w:sz="0" w:space="0" w:color="auto"/>
      </w:divBdr>
      <w:divsChild>
        <w:div w:id="1400249543">
          <w:marLeft w:val="0"/>
          <w:marRight w:val="0"/>
          <w:marTop w:val="0"/>
          <w:marBottom w:val="0"/>
          <w:divBdr>
            <w:top w:val="none" w:sz="0" w:space="0" w:color="auto"/>
            <w:left w:val="none" w:sz="0" w:space="0" w:color="auto"/>
            <w:bottom w:val="none" w:sz="0" w:space="0" w:color="auto"/>
            <w:right w:val="none" w:sz="0" w:space="0" w:color="auto"/>
          </w:divBdr>
          <w:divsChild>
            <w:div w:id="616184865">
              <w:marLeft w:val="0"/>
              <w:marRight w:val="0"/>
              <w:marTop w:val="0"/>
              <w:marBottom w:val="0"/>
              <w:divBdr>
                <w:top w:val="none" w:sz="0" w:space="0" w:color="auto"/>
                <w:left w:val="none" w:sz="0" w:space="0" w:color="auto"/>
                <w:bottom w:val="none" w:sz="0" w:space="0" w:color="auto"/>
                <w:right w:val="none" w:sz="0" w:space="0" w:color="auto"/>
              </w:divBdr>
              <w:divsChild>
                <w:div w:id="21309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050">
      <w:bodyDiv w:val="1"/>
      <w:marLeft w:val="0"/>
      <w:marRight w:val="0"/>
      <w:marTop w:val="0"/>
      <w:marBottom w:val="0"/>
      <w:divBdr>
        <w:top w:val="none" w:sz="0" w:space="0" w:color="auto"/>
        <w:left w:val="none" w:sz="0" w:space="0" w:color="auto"/>
        <w:bottom w:val="none" w:sz="0" w:space="0" w:color="auto"/>
        <w:right w:val="none" w:sz="0" w:space="0" w:color="auto"/>
      </w:divBdr>
    </w:div>
    <w:div w:id="188418845">
      <w:bodyDiv w:val="1"/>
      <w:marLeft w:val="0"/>
      <w:marRight w:val="0"/>
      <w:marTop w:val="0"/>
      <w:marBottom w:val="0"/>
      <w:divBdr>
        <w:top w:val="none" w:sz="0" w:space="0" w:color="auto"/>
        <w:left w:val="none" w:sz="0" w:space="0" w:color="auto"/>
        <w:bottom w:val="none" w:sz="0" w:space="0" w:color="auto"/>
        <w:right w:val="none" w:sz="0" w:space="0" w:color="auto"/>
      </w:divBdr>
    </w:div>
    <w:div w:id="191960531">
      <w:bodyDiv w:val="1"/>
      <w:marLeft w:val="0"/>
      <w:marRight w:val="0"/>
      <w:marTop w:val="0"/>
      <w:marBottom w:val="0"/>
      <w:divBdr>
        <w:top w:val="none" w:sz="0" w:space="0" w:color="auto"/>
        <w:left w:val="none" w:sz="0" w:space="0" w:color="auto"/>
        <w:bottom w:val="none" w:sz="0" w:space="0" w:color="auto"/>
        <w:right w:val="none" w:sz="0" w:space="0" w:color="auto"/>
      </w:divBdr>
    </w:div>
    <w:div w:id="192035739">
      <w:bodyDiv w:val="1"/>
      <w:marLeft w:val="0"/>
      <w:marRight w:val="0"/>
      <w:marTop w:val="0"/>
      <w:marBottom w:val="0"/>
      <w:divBdr>
        <w:top w:val="none" w:sz="0" w:space="0" w:color="auto"/>
        <w:left w:val="none" w:sz="0" w:space="0" w:color="auto"/>
        <w:bottom w:val="none" w:sz="0" w:space="0" w:color="auto"/>
        <w:right w:val="none" w:sz="0" w:space="0" w:color="auto"/>
      </w:divBdr>
    </w:div>
    <w:div w:id="196703395">
      <w:bodyDiv w:val="1"/>
      <w:marLeft w:val="0"/>
      <w:marRight w:val="0"/>
      <w:marTop w:val="0"/>
      <w:marBottom w:val="0"/>
      <w:divBdr>
        <w:top w:val="none" w:sz="0" w:space="0" w:color="auto"/>
        <w:left w:val="none" w:sz="0" w:space="0" w:color="auto"/>
        <w:bottom w:val="none" w:sz="0" w:space="0" w:color="auto"/>
        <w:right w:val="none" w:sz="0" w:space="0" w:color="auto"/>
      </w:divBdr>
    </w:div>
    <w:div w:id="197209432">
      <w:bodyDiv w:val="1"/>
      <w:marLeft w:val="0"/>
      <w:marRight w:val="0"/>
      <w:marTop w:val="0"/>
      <w:marBottom w:val="0"/>
      <w:divBdr>
        <w:top w:val="none" w:sz="0" w:space="0" w:color="auto"/>
        <w:left w:val="none" w:sz="0" w:space="0" w:color="auto"/>
        <w:bottom w:val="none" w:sz="0" w:space="0" w:color="auto"/>
        <w:right w:val="none" w:sz="0" w:space="0" w:color="auto"/>
      </w:divBdr>
    </w:div>
    <w:div w:id="197552756">
      <w:bodyDiv w:val="1"/>
      <w:marLeft w:val="0"/>
      <w:marRight w:val="0"/>
      <w:marTop w:val="0"/>
      <w:marBottom w:val="0"/>
      <w:divBdr>
        <w:top w:val="none" w:sz="0" w:space="0" w:color="auto"/>
        <w:left w:val="none" w:sz="0" w:space="0" w:color="auto"/>
        <w:bottom w:val="none" w:sz="0" w:space="0" w:color="auto"/>
        <w:right w:val="none" w:sz="0" w:space="0" w:color="auto"/>
      </w:divBdr>
    </w:div>
    <w:div w:id="198591277">
      <w:bodyDiv w:val="1"/>
      <w:marLeft w:val="0"/>
      <w:marRight w:val="0"/>
      <w:marTop w:val="0"/>
      <w:marBottom w:val="0"/>
      <w:divBdr>
        <w:top w:val="none" w:sz="0" w:space="0" w:color="auto"/>
        <w:left w:val="none" w:sz="0" w:space="0" w:color="auto"/>
        <w:bottom w:val="none" w:sz="0" w:space="0" w:color="auto"/>
        <w:right w:val="none" w:sz="0" w:space="0" w:color="auto"/>
      </w:divBdr>
    </w:div>
    <w:div w:id="201866321">
      <w:bodyDiv w:val="1"/>
      <w:marLeft w:val="0"/>
      <w:marRight w:val="0"/>
      <w:marTop w:val="0"/>
      <w:marBottom w:val="0"/>
      <w:divBdr>
        <w:top w:val="none" w:sz="0" w:space="0" w:color="auto"/>
        <w:left w:val="none" w:sz="0" w:space="0" w:color="auto"/>
        <w:bottom w:val="none" w:sz="0" w:space="0" w:color="auto"/>
        <w:right w:val="none" w:sz="0" w:space="0" w:color="auto"/>
      </w:divBdr>
    </w:div>
    <w:div w:id="213739283">
      <w:bodyDiv w:val="1"/>
      <w:marLeft w:val="0"/>
      <w:marRight w:val="0"/>
      <w:marTop w:val="0"/>
      <w:marBottom w:val="0"/>
      <w:divBdr>
        <w:top w:val="none" w:sz="0" w:space="0" w:color="auto"/>
        <w:left w:val="none" w:sz="0" w:space="0" w:color="auto"/>
        <w:bottom w:val="none" w:sz="0" w:space="0" w:color="auto"/>
        <w:right w:val="none" w:sz="0" w:space="0" w:color="auto"/>
      </w:divBdr>
    </w:div>
    <w:div w:id="217979775">
      <w:bodyDiv w:val="1"/>
      <w:marLeft w:val="0"/>
      <w:marRight w:val="0"/>
      <w:marTop w:val="0"/>
      <w:marBottom w:val="0"/>
      <w:divBdr>
        <w:top w:val="none" w:sz="0" w:space="0" w:color="auto"/>
        <w:left w:val="none" w:sz="0" w:space="0" w:color="auto"/>
        <w:bottom w:val="none" w:sz="0" w:space="0" w:color="auto"/>
        <w:right w:val="none" w:sz="0" w:space="0" w:color="auto"/>
      </w:divBdr>
    </w:div>
    <w:div w:id="222378734">
      <w:bodyDiv w:val="1"/>
      <w:marLeft w:val="0"/>
      <w:marRight w:val="0"/>
      <w:marTop w:val="0"/>
      <w:marBottom w:val="0"/>
      <w:divBdr>
        <w:top w:val="none" w:sz="0" w:space="0" w:color="auto"/>
        <w:left w:val="none" w:sz="0" w:space="0" w:color="auto"/>
        <w:bottom w:val="none" w:sz="0" w:space="0" w:color="auto"/>
        <w:right w:val="none" w:sz="0" w:space="0" w:color="auto"/>
      </w:divBdr>
    </w:div>
    <w:div w:id="223492585">
      <w:bodyDiv w:val="1"/>
      <w:marLeft w:val="0"/>
      <w:marRight w:val="0"/>
      <w:marTop w:val="0"/>
      <w:marBottom w:val="0"/>
      <w:divBdr>
        <w:top w:val="none" w:sz="0" w:space="0" w:color="auto"/>
        <w:left w:val="none" w:sz="0" w:space="0" w:color="auto"/>
        <w:bottom w:val="none" w:sz="0" w:space="0" w:color="auto"/>
        <w:right w:val="none" w:sz="0" w:space="0" w:color="auto"/>
      </w:divBdr>
      <w:divsChild>
        <w:div w:id="2102555503">
          <w:marLeft w:val="0"/>
          <w:marRight w:val="0"/>
          <w:marTop w:val="0"/>
          <w:marBottom w:val="0"/>
          <w:divBdr>
            <w:top w:val="none" w:sz="0" w:space="0" w:color="auto"/>
            <w:left w:val="none" w:sz="0" w:space="0" w:color="auto"/>
            <w:bottom w:val="none" w:sz="0" w:space="0" w:color="auto"/>
            <w:right w:val="none" w:sz="0" w:space="0" w:color="auto"/>
          </w:divBdr>
          <w:divsChild>
            <w:div w:id="266501836">
              <w:marLeft w:val="0"/>
              <w:marRight w:val="0"/>
              <w:marTop w:val="0"/>
              <w:marBottom w:val="0"/>
              <w:divBdr>
                <w:top w:val="none" w:sz="0" w:space="0" w:color="auto"/>
                <w:left w:val="none" w:sz="0" w:space="0" w:color="auto"/>
                <w:bottom w:val="none" w:sz="0" w:space="0" w:color="auto"/>
                <w:right w:val="none" w:sz="0" w:space="0" w:color="auto"/>
              </w:divBdr>
              <w:divsChild>
                <w:div w:id="1829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67702">
      <w:bodyDiv w:val="1"/>
      <w:marLeft w:val="0"/>
      <w:marRight w:val="0"/>
      <w:marTop w:val="0"/>
      <w:marBottom w:val="0"/>
      <w:divBdr>
        <w:top w:val="none" w:sz="0" w:space="0" w:color="auto"/>
        <w:left w:val="none" w:sz="0" w:space="0" w:color="auto"/>
        <w:bottom w:val="none" w:sz="0" w:space="0" w:color="auto"/>
        <w:right w:val="none" w:sz="0" w:space="0" w:color="auto"/>
      </w:divBdr>
      <w:divsChild>
        <w:div w:id="392433645">
          <w:marLeft w:val="0"/>
          <w:marRight w:val="0"/>
          <w:marTop w:val="0"/>
          <w:marBottom w:val="0"/>
          <w:divBdr>
            <w:top w:val="none" w:sz="0" w:space="0" w:color="auto"/>
            <w:left w:val="none" w:sz="0" w:space="0" w:color="auto"/>
            <w:bottom w:val="none" w:sz="0" w:space="0" w:color="auto"/>
            <w:right w:val="none" w:sz="0" w:space="0" w:color="auto"/>
          </w:divBdr>
          <w:divsChild>
            <w:div w:id="1085032941">
              <w:marLeft w:val="0"/>
              <w:marRight w:val="0"/>
              <w:marTop w:val="0"/>
              <w:marBottom w:val="0"/>
              <w:divBdr>
                <w:top w:val="none" w:sz="0" w:space="0" w:color="auto"/>
                <w:left w:val="none" w:sz="0" w:space="0" w:color="auto"/>
                <w:bottom w:val="none" w:sz="0" w:space="0" w:color="auto"/>
                <w:right w:val="none" w:sz="0" w:space="0" w:color="auto"/>
              </w:divBdr>
              <w:divsChild>
                <w:div w:id="10663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1383">
      <w:bodyDiv w:val="1"/>
      <w:marLeft w:val="0"/>
      <w:marRight w:val="0"/>
      <w:marTop w:val="0"/>
      <w:marBottom w:val="0"/>
      <w:divBdr>
        <w:top w:val="none" w:sz="0" w:space="0" w:color="auto"/>
        <w:left w:val="none" w:sz="0" w:space="0" w:color="auto"/>
        <w:bottom w:val="none" w:sz="0" w:space="0" w:color="auto"/>
        <w:right w:val="none" w:sz="0" w:space="0" w:color="auto"/>
      </w:divBdr>
    </w:div>
    <w:div w:id="242954919">
      <w:bodyDiv w:val="1"/>
      <w:marLeft w:val="0"/>
      <w:marRight w:val="0"/>
      <w:marTop w:val="0"/>
      <w:marBottom w:val="0"/>
      <w:divBdr>
        <w:top w:val="none" w:sz="0" w:space="0" w:color="auto"/>
        <w:left w:val="none" w:sz="0" w:space="0" w:color="auto"/>
        <w:bottom w:val="none" w:sz="0" w:space="0" w:color="auto"/>
        <w:right w:val="none" w:sz="0" w:space="0" w:color="auto"/>
      </w:divBdr>
      <w:divsChild>
        <w:div w:id="1338387129">
          <w:marLeft w:val="0"/>
          <w:marRight w:val="0"/>
          <w:marTop w:val="0"/>
          <w:marBottom w:val="0"/>
          <w:divBdr>
            <w:top w:val="none" w:sz="0" w:space="0" w:color="auto"/>
            <w:left w:val="none" w:sz="0" w:space="0" w:color="auto"/>
            <w:bottom w:val="none" w:sz="0" w:space="0" w:color="auto"/>
            <w:right w:val="none" w:sz="0" w:space="0" w:color="auto"/>
          </w:divBdr>
          <w:divsChild>
            <w:div w:id="602736165">
              <w:marLeft w:val="0"/>
              <w:marRight w:val="0"/>
              <w:marTop w:val="0"/>
              <w:marBottom w:val="0"/>
              <w:divBdr>
                <w:top w:val="none" w:sz="0" w:space="0" w:color="auto"/>
                <w:left w:val="none" w:sz="0" w:space="0" w:color="auto"/>
                <w:bottom w:val="none" w:sz="0" w:space="0" w:color="auto"/>
                <w:right w:val="none" w:sz="0" w:space="0" w:color="auto"/>
              </w:divBdr>
              <w:divsChild>
                <w:div w:id="243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9777">
      <w:bodyDiv w:val="1"/>
      <w:marLeft w:val="0"/>
      <w:marRight w:val="0"/>
      <w:marTop w:val="0"/>
      <w:marBottom w:val="0"/>
      <w:divBdr>
        <w:top w:val="none" w:sz="0" w:space="0" w:color="auto"/>
        <w:left w:val="none" w:sz="0" w:space="0" w:color="auto"/>
        <w:bottom w:val="none" w:sz="0" w:space="0" w:color="auto"/>
        <w:right w:val="none" w:sz="0" w:space="0" w:color="auto"/>
      </w:divBdr>
      <w:divsChild>
        <w:div w:id="889077671">
          <w:marLeft w:val="0"/>
          <w:marRight w:val="0"/>
          <w:marTop w:val="0"/>
          <w:marBottom w:val="0"/>
          <w:divBdr>
            <w:top w:val="none" w:sz="0" w:space="0" w:color="auto"/>
            <w:left w:val="none" w:sz="0" w:space="0" w:color="auto"/>
            <w:bottom w:val="none" w:sz="0" w:space="0" w:color="auto"/>
            <w:right w:val="none" w:sz="0" w:space="0" w:color="auto"/>
          </w:divBdr>
          <w:divsChild>
            <w:div w:id="1933512997">
              <w:marLeft w:val="0"/>
              <w:marRight w:val="0"/>
              <w:marTop w:val="0"/>
              <w:marBottom w:val="0"/>
              <w:divBdr>
                <w:top w:val="none" w:sz="0" w:space="0" w:color="auto"/>
                <w:left w:val="none" w:sz="0" w:space="0" w:color="auto"/>
                <w:bottom w:val="none" w:sz="0" w:space="0" w:color="auto"/>
                <w:right w:val="none" w:sz="0" w:space="0" w:color="auto"/>
              </w:divBdr>
              <w:divsChild>
                <w:div w:id="10906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9706">
      <w:bodyDiv w:val="1"/>
      <w:marLeft w:val="0"/>
      <w:marRight w:val="0"/>
      <w:marTop w:val="0"/>
      <w:marBottom w:val="0"/>
      <w:divBdr>
        <w:top w:val="none" w:sz="0" w:space="0" w:color="auto"/>
        <w:left w:val="none" w:sz="0" w:space="0" w:color="auto"/>
        <w:bottom w:val="none" w:sz="0" w:space="0" w:color="auto"/>
        <w:right w:val="none" w:sz="0" w:space="0" w:color="auto"/>
      </w:divBdr>
      <w:divsChild>
        <w:div w:id="590511415">
          <w:marLeft w:val="0"/>
          <w:marRight w:val="0"/>
          <w:marTop w:val="0"/>
          <w:marBottom w:val="0"/>
          <w:divBdr>
            <w:top w:val="none" w:sz="0" w:space="0" w:color="auto"/>
            <w:left w:val="none" w:sz="0" w:space="0" w:color="auto"/>
            <w:bottom w:val="none" w:sz="0" w:space="0" w:color="auto"/>
            <w:right w:val="none" w:sz="0" w:space="0" w:color="auto"/>
          </w:divBdr>
        </w:div>
        <w:div w:id="1170829460">
          <w:marLeft w:val="0"/>
          <w:marRight w:val="0"/>
          <w:marTop w:val="0"/>
          <w:marBottom w:val="0"/>
          <w:divBdr>
            <w:top w:val="none" w:sz="0" w:space="0" w:color="auto"/>
            <w:left w:val="none" w:sz="0" w:space="0" w:color="auto"/>
            <w:bottom w:val="none" w:sz="0" w:space="0" w:color="auto"/>
            <w:right w:val="none" w:sz="0" w:space="0" w:color="auto"/>
          </w:divBdr>
        </w:div>
        <w:div w:id="438988681">
          <w:marLeft w:val="0"/>
          <w:marRight w:val="0"/>
          <w:marTop w:val="0"/>
          <w:marBottom w:val="0"/>
          <w:divBdr>
            <w:top w:val="none" w:sz="0" w:space="0" w:color="auto"/>
            <w:left w:val="none" w:sz="0" w:space="0" w:color="auto"/>
            <w:bottom w:val="none" w:sz="0" w:space="0" w:color="auto"/>
            <w:right w:val="none" w:sz="0" w:space="0" w:color="auto"/>
          </w:divBdr>
        </w:div>
        <w:div w:id="1893955694">
          <w:marLeft w:val="0"/>
          <w:marRight w:val="0"/>
          <w:marTop w:val="0"/>
          <w:marBottom w:val="0"/>
          <w:divBdr>
            <w:top w:val="none" w:sz="0" w:space="0" w:color="auto"/>
            <w:left w:val="none" w:sz="0" w:space="0" w:color="auto"/>
            <w:bottom w:val="none" w:sz="0" w:space="0" w:color="auto"/>
            <w:right w:val="none" w:sz="0" w:space="0" w:color="auto"/>
          </w:divBdr>
        </w:div>
        <w:div w:id="1000959857">
          <w:marLeft w:val="0"/>
          <w:marRight w:val="0"/>
          <w:marTop w:val="0"/>
          <w:marBottom w:val="0"/>
          <w:divBdr>
            <w:top w:val="none" w:sz="0" w:space="0" w:color="auto"/>
            <w:left w:val="none" w:sz="0" w:space="0" w:color="auto"/>
            <w:bottom w:val="none" w:sz="0" w:space="0" w:color="auto"/>
            <w:right w:val="none" w:sz="0" w:space="0" w:color="auto"/>
          </w:divBdr>
        </w:div>
        <w:div w:id="1581675563">
          <w:marLeft w:val="0"/>
          <w:marRight w:val="0"/>
          <w:marTop w:val="0"/>
          <w:marBottom w:val="0"/>
          <w:divBdr>
            <w:top w:val="none" w:sz="0" w:space="0" w:color="auto"/>
            <w:left w:val="none" w:sz="0" w:space="0" w:color="auto"/>
            <w:bottom w:val="none" w:sz="0" w:space="0" w:color="auto"/>
            <w:right w:val="none" w:sz="0" w:space="0" w:color="auto"/>
          </w:divBdr>
        </w:div>
        <w:div w:id="1154025004">
          <w:marLeft w:val="0"/>
          <w:marRight w:val="0"/>
          <w:marTop w:val="0"/>
          <w:marBottom w:val="0"/>
          <w:divBdr>
            <w:top w:val="none" w:sz="0" w:space="0" w:color="auto"/>
            <w:left w:val="none" w:sz="0" w:space="0" w:color="auto"/>
            <w:bottom w:val="none" w:sz="0" w:space="0" w:color="auto"/>
            <w:right w:val="none" w:sz="0" w:space="0" w:color="auto"/>
          </w:divBdr>
        </w:div>
        <w:div w:id="1630630303">
          <w:marLeft w:val="0"/>
          <w:marRight w:val="0"/>
          <w:marTop w:val="0"/>
          <w:marBottom w:val="0"/>
          <w:divBdr>
            <w:top w:val="none" w:sz="0" w:space="0" w:color="auto"/>
            <w:left w:val="none" w:sz="0" w:space="0" w:color="auto"/>
            <w:bottom w:val="none" w:sz="0" w:space="0" w:color="auto"/>
            <w:right w:val="none" w:sz="0" w:space="0" w:color="auto"/>
          </w:divBdr>
        </w:div>
        <w:div w:id="405305372">
          <w:marLeft w:val="0"/>
          <w:marRight w:val="0"/>
          <w:marTop w:val="0"/>
          <w:marBottom w:val="0"/>
          <w:divBdr>
            <w:top w:val="none" w:sz="0" w:space="0" w:color="auto"/>
            <w:left w:val="none" w:sz="0" w:space="0" w:color="auto"/>
            <w:bottom w:val="none" w:sz="0" w:space="0" w:color="auto"/>
            <w:right w:val="none" w:sz="0" w:space="0" w:color="auto"/>
          </w:divBdr>
        </w:div>
        <w:div w:id="150798490">
          <w:marLeft w:val="0"/>
          <w:marRight w:val="0"/>
          <w:marTop w:val="0"/>
          <w:marBottom w:val="0"/>
          <w:divBdr>
            <w:top w:val="none" w:sz="0" w:space="0" w:color="auto"/>
            <w:left w:val="none" w:sz="0" w:space="0" w:color="auto"/>
            <w:bottom w:val="none" w:sz="0" w:space="0" w:color="auto"/>
            <w:right w:val="none" w:sz="0" w:space="0" w:color="auto"/>
          </w:divBdr>
        </w:div>
        <w:div w:id="236131600">
          <w:marLeft w:val="0"/>
          <w:marRight w:val="0"/>
          <w:marTop w:val="0"/>
          <w:marBottom w:val="0"/>
          <w:divBdr>
            <w:top w:val="none" w:sz="0" w:space="0" w:color="auto"/>
            <w:left w:val="none" w:sz="0" w:space="0" w:color="auto"/>
            <w:bottom w:val="none" w:sz="0" w:space="0" w:color="auto"/>
            <w:right w:val="none" w:sz="0" w:space="0" w:color="auto"/>
          </w:divBdr>
        </w:div>
        <w:div w:id="520893969">
          <w:marLeft w:val="0"/>
          <w:marRight w:val="0"/>
          <w:marTop w:val="0"/>
          <w:marBottom w:val="0"/>
          <w:divBdr>
            <w:top w:val="none" w:sz="0" w:space="0" w:color="auto"/>
            <w:left w:val="none" w:sz="0" w:space="0" w:color="auto"/>
            <w:bottom w:val="none" w:sz="0" w:space="0" w:color="auto"/>
            <w:right w:val="none" w:sz="0" w:space="0" w:color="auto"/>
          </w:divBdr>
        </w:div>
        <w:div w:id="980305755">
          <w:marLeft w:val="0"/>
          <w:marRight w:val="0"/>
          <w:marTop w:val="0"/>
          <w:marBottom w:val="0"/>
          <w:divBdr>
            <w:top w:val="none" w:sz="0" w:space="0" w:color="auto"/>
            <w:left w:val="none" w:sz="0" w:space="0" w:color="auto"/>
            <w:bottom w:val="none" w:sz="0" w:space="0" w:color="auto"/>
            <w:right w:val="none" w:sz="0" w:space="0" w:color="auto"/>
          </w:divBdr>
        </w:div>
        <w:div w:id="369108860">
          <w:marLeft w:val="0"/>
          <w:marRight w:val="0"/>
          <w:marTop w:val="0"/>
          <w:marBottom w:val="0"/>
          <w:divBdr>
            <w:top w:val="none" w:sz="0" w:space="0" w:color="auto"/>
            <w:left w:val="none" w:sz="0" w:space="0" w:color="auto"/>
            <w:bottom w:val="none" w:sz="0" w:space="0" w:color="auto"/>
            <w:right w:val="none" w:sz="0" w:space="0" w:color="auto"/>
          </w:divBdr>
        </w:div>
        <w:div w:id="1643463643">
          <w:marLeft w:val="0"/>
          <w:marRight w:val="0"/>
          <w:marTop w:val="0"/>
          <w:marBottom w:val="0"/>
          <w:divBdr>
            <w:top w:val="none" w:sz="0" w:space="0" w:color="auto"/>
            <w:left w:val="none" w:sz="0" w:space="0" w:color="auto"/>
            <w:bottom w:val="none" w:sz="0" w:space="0" w:color="auto"/>
            <w:right w:val="none" w:sz="0" w:space="0" w:color="auto"/>
          </w:divBdr>
        </w:div>
        <w:div w:id="1224028771">
          <w:marLeft w:val="0"/>
          <w:marRight w:val="0"/>
          <w:marTop w:val="0"/>
          <w:marBottom w:val="0"/>
          <w:divBdr>
            <w:top w:val="none" w:sz="0" w:space="0" w:color="auto"/>
            <w:left w:val="none" w:sz="0" w:space="0" w:color="auto"/>
            <w:bottom w:val="none" w:sz="0" w:space="0" w:color="auto"/>
            <w:right w:val="none" w:sz="0" w:space="0" w:color="auto"/>
          </w:divBdr>
        </w:div>
      </w:divsChild>
    </w:div>
    <w:div w:id="258146613">
      <w:bodyDiv w:val="1"/>
      <w:marLeft w:val="0"/>
      <w:marRight w:val="0"/>
      <w:marTop w:val="0"/>
      <w:marBottom w:val="0"/>
      <w:divBdr>
        <w:top w:val="none" w:sz="0" w:space="0" w:color="auto"/>
        <w:left w:val="none" w:sz="0" w:space="0" w:color="auto"/>
        <w:bottom w:val="none" w:sz="0" w:space="0" w:color="auto"/>
        <w:right w:val="none" w:sz="0" w:space="0" w:color="auto"/>
      </w:divBdr>
    </w:div>
    <w:div w:id="269508774">
      <w:bodyDiv w:val="1"/>
      <w:marLeft w:val="0"/>
      <w:marRight w:val="0"/>
      <w:marTop w:val="0"/>
      <w:marBottom w:val="0"/>
      <w:divBdr>
        <w:top w:val="none" w:sz="0" w:space="0" w:color="auto"/>
        <w:left w:val="none" w:sz="0" w:space="0" w:color="auto"/>
        <w:bottom w:val="none" w:sz="0" w:space="0" w:color="auto"/>
        <w:right w:val="none" w:sz="0" w:space="0" w:color="auto"/>
      </w:divBdr>
    </w:div>
    <w:div w:id="278268313">
      <w:bodyDiv w:val="1"/>
      <w:marLeft w:val="0"/>
      <w:marRight w:val="0"/>
      <w:marTop w:val="0"/>
      <w:marBottom w:val="0"/>
      <w:divBdr>
        <w:top w:val="none" w:sz="0" w:space="0" w:color="auto"/>
        <w:left w:val="none" w:sz="0" w:space="0" w:color="auto"/>
        <w:bottom w:val="none" w:sz="0" w:space="0" w:color="auto"/>
        <w:right w:val="none" w:sz="0" w:space="0" w:color="auto"/>
      </w:divBdr>
    </w:div>
    <w:div w:id="285088195">
      <w:bodyDiv w:val="1"/>
      <w:marLeft w:val="0"/>
      <w:marRight w:val="0"/>
      <w:marTop w:val="0"/>
      <w:marBottom w:val="0"/>
      <w:divBdr>
        <w:top w:val="none" w:sz="0" w:space="0" w:color="auto"/>
        <w:left w:val="none" w:sz="0" w:space="0" w:color="auto"/>
        <w:bottom w:val="none" w:sz="0" w:space="0" w:color="auto"/>
        <w:right w:val="none" w:sz="0" w:space="0" w:color="auto"/>
      </w:divBdr>
    </w:div>
    <w:div w:id="286085811">
      <w:bodyDiv w:val="1"/>
      <w:marLeft w:val="0"/>
      <w:marRight w:val="0"/>
      <w:marTop w:val="0"/>
      <w:marBottom w:val="0"/>
      <w:divBdr>
        <w:top w:val="none" w:sz="0" w:space="0" w:color="auto"/>
        <w:left w:val="none" w:sz="0" w:space="0" w:color="auto"/>
        <w:bottom w:val="none" w:sz="0" w:space="0" w:color="auto"/>
        <w:right w:val="none" w:sz="0" w:space="0" w:color="auto"/>
      </w:divBdr>
    </w:div>
    <w:div w:id="291519573">
      <w:bodyDiv w:val="1"/>
      <w:marLeft w:val="0"/>
      <w:marRight w:val="0"/>
      <w:marTop w:val="0"/>
      <w:marBottom w:val="0"/>
      <w:divBdr>
        <w:top w:val="none" w:sz="0" w:space="0" w:color="auto"/>
        <w:left w:val="none" w:sz="0" w:space="0" w:color="auto"/>
        <w:bottom w:val="none" w:sz="0" w:space="0" w:color="auto"/>
        <w:right w:val="none" w:sz="0" w:space="0" w:color="auto"/>
      </w:divBdr>
    </w:div>
    <w:div w:id="293751489">
      <w:bodyDiv w:val="1"/>
      <w:marLeft w:val="0"/>
      <w:marRight w:val="0"/>
      <w:marTop w:val="0"/>
      <w:marBottom w:val="0"/>
      <w:divBdr>
        <w:top w:val="none" w:sz="0" w:space="0" w:color="auto"/>
        <w:left w:val="none" w:sz="0" w:space="0" w:color="auto"/>
        <w:bottom w:val="none" w:sz="0" w:space="0" w:color="auto"/>
        <w:right w:val="none" w:sz="0" w:space="0" w:color="auto"/>
      </w:divBdr>
      <w:divsChild>
        <w:div w:id="801197002">
          <w:marLeft w:val="0"/>
          <w:marRight w:val="0"/>
          <w:marTop w:val="0"/>
          <w:marBottom w:val="0"/>
          <w:divBdr>
            <w:top w:val="none" w:sz="0" w:space="0" w:color="auto"/>
            <w:left w:val="none" w:sz="0" w:space="0" w:color="auto"/>
            <w:bottom w:val="none" w:sz="0" w:space="0" w:color="auto"/>
            <w:right w:val="none" w:sz="0" w:space="0" w:color="auto"/>
          </w:divBdr>
          <w:divsChild>
            <w:div w:id="1624578625">
              <w:marLeft w:val="0"/>
              <w:marRight w:val="0"/>
              <w:marTop w:val="0"/>
              <w:marBottom w:val="0"/>
              <w:divBdr>
                <w:top w:val="none" w:sz="0" w:space="0" w:color="auto"/>
                <w:left w:val="none" w:sz="0" w:space="0" w:color="auto"/>
                <w:bottom w:val="none" w:sz="0" w:space="0" w:color="auto"/>
                <w:right w:val="none" w:sz="0" w:space="0" w:color="auto"/>
              </w:divBdr>
              <w:divsChild>
                <w:div w:id="1158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1256">
      <w:bodyDiv w:val="1"/>
      <w:marLeft w:val="0"/>
      <w:marRight w:val="0"/>
      <w:marTop w:val="0"/>
      <w:marBottom w:val="0"/>
      <w:divBdr>
        <w:top w:val="none" w:sz="0" w:space="0" w:color="auto"/>
        <w:left w:val="none" w:sz="0" w:space="0" w:color="auto"/>
        <w:bottom w:val="none" w:sz="0" w:space="0" w:color="auto"/>
        <w:right w:val="none" w:sz="0" w:space="0" w:color="auto"/>
      </w:divBdr>
    </w:div>
    <w:div w:id="294916905">
      <w:bodyDiv w:val="1"/>
      <w:marLeft w:val="0"/>
      <w:marRight w:val="0"/>
      <w:marTop w:val="0"/>
      <w:marBottom w:val="0"/>
      <w:divBdr>
        <w:top w:val="none" w:sz="0" w:space="0" w:color="auto"/>
        <w:left w:val="none" w:sz="0" w:space="0" w:color="auto"/>
        <w:bottom w:val="none" w:sz="0" w:space="0" w:color="auto"/>
        <w:right w:val="none" w:sz="0" w:space="0" w:color="auto"/>
      </w:divBdr>
    </w:div>
    <w:div w:id="313266689">
      <w:bodyDiv w:val="1"/>
      <w:marLeft w:val="0"/>
      <w:marRight w:val="0"/>
      <w:marTop w:val="0"/>
      <w:marBottom w:val="0"/>
      <w:divBdr>
        <w:top w:val="none" w:sz="0" w:space="0" w:color="auto"/>
        <w:left w:val="none" w:sz="0" w:space="0" w:color="auto"/>
        <w:bottom w:val="none" w:sz="0" w:space="0" w:color="auto"/>
        <w:right w:val="none" w:sz="0" w:space="0" w:color="auto"/>
      </w:divBdr>
    </w:div>
    <w:div w:id="317392720">
      <w:bodyDiv w:val="1"/>
      <w:marLeft w:val="0"/>
      <w:marRight w:val="0"/>
      <w:marTop w:val="0"/>
      <w:marBottom w:val="0"/>
      <w:divBdr>
        <w:top w:val="none" w:sz="0" w:space="0" w:color="auto"/>
        <w:left w:val="none" w:sz="0" w:space="0" w:color="auto"/>
        <w:bottom w:val="none" w:sz="0" w:space="0" w:color="auto"/>
        <w:right w:val="none" w:sz="0" w:space="0" w:color="auto"/>
      </w:divBdr>
    </w:div>
    <w:div w:id="321932248">
      <w:bodyDiv w:val="1"/>
      <w:marLeft w:val="0"/>
      <w:marRight w:val="0"/>
      <w:marTop w:val="0"/>
      <w:marBottom w:val="0"/>
      <w:divBdr>
        <w:top w:val="none" w:sz="0" w:space="0" w:color="auto"/>
        <w:left w:val="none" w:sz="0" w:space="0" w:color="auto"/>
        <w:bottom w:val="none" w:sz="0" w:space="0" w:color="auto"/>
        <w:right w:val="none" w:sz="0" w:space="0" w:color="auto"/>
      </w:divBdr>
      <w:divsChild>
        <w:div w:id="409431329">
          <w:marLeft w:val="0"/>
          <w:marRight w:val="0"/>
          <w:marTop w:val="0"/>
          <w:marBottom w:val="0"/>
          <w:divBdr>
            <w:top w:val="none" w:sz="0" w:space="0" w:color="auto"/>
            <w:left w:val="none" w:sz="0" w:space="0" w:color="auto"/>
            <w:bottom w:val="none" w:sz="0" w:space="0" w:color="auto"/>
            <w:right w:val="none" w:sz="0" w:space="0" w:color="auto"/>
          </w:divBdr>
        </w:div>
        <w:div w:id="588659662">
          <w:marLeft w:val="0"/>
          <w:marRight w:val="0"/>
          <w:marTop w:val="0"/>
          <w:marBottom w:val="0"/>
          <w:divBdr>
            <w:top w:val="none" w:sz="0" w:space="0" w:color="auto"/>
            <w:left w:val="none" w:sz="0" w:space="0" w:color="auto"/>
            <w:bottom w:val="none" w:sz="0" w:space="0" w:color="auto"/>
            <w:right w:val="none" w:sz="0" w:space="0" w:color="auto"/>
          </w:divBdr>
        </w:div>
        <w:div w:id="1680237246">
          <w:marLeft w:val="0"/>
          <w:marRight w:val="0"/>
          <w:marTop w:val="0"/>
          <w:marBottom w:val="0"/>
          <w:divBdr>
            <w:top w:val="none" w:sz="0" w:space="0" w:color="auto"/>
            <w:left w:val="none" w:sz="0" w:space="0" w:color="auto"/>
            <w:bottom w:val="none" w:sz="0" w:space="0" w:color="auto"/>
            <w:right w:val="none" w:sz="0" w:space="0" w:color="auto"/>
          </w:divBdr>
        </w:div>
        <w:div w:id="873273191">
          <w:marLeft w:val="0"/>
          <w:marRight w:val="0"/>
          <w:marTop w:val="0"/>
          <w:marBottom w:val="0"/>
          <w:divBdr>
            <w:top w:val="none" w:sz="0" w:space="0" w:color="auto"/>
            <w:left w:val="none" w:sz="0" w:space="0" w:color="auto"/>
            <w:bottom w:val="none" w:sz="0" w:space="0" w:color="auto"/>
            <w:right w:val="none" w:sz="0" w:space="0" w:color="auto"/>
          </w:divBdr>
        </w:div>
        <w:div w:id="1555656692">
          <w:marLeft w:val="0"/>
          <w:marRight w:val="0"/>
          <w:marTop w:val="0"/>
          <w:marBottom w:val="0"/>
          <w:divBdr>
            <w:top w:val="none" w:sz="0" w:space="0" w:color="auto"/>
            <w:left w:val="none" w:sz="0" w:space="0" w:color="auto"/>
            <w:bottom w:val="none" w:sz="0" w:space="0" w:color="auto"/>
            <w:right w:val="none" w:sz="0" w:space="0" w:color="auto"/>
          </w:divBdr>
        </w:div>
        <w:div w:id="200434260">
          <w:marLeft w:val="0"/>
          <w:marRight w:val="0"/>
          <w:marTop w:val="0"/>
          <w:marBottom w:val="0"/>
          <w:divBdr>
            <w:top w:val="none" w:sz="0" w:space="0" w:color="auto"/>
            <w:left w:val="none" w:sz="0" w:space="0" w:color="auto"/>
            <w:bottom w:val="none" w:sz="0" w:space="0" w:color="auto"/>
            <w:right w:val="none" w:sz="0" w:space="0" w:color="auto"/>
          </w:divBdr>
        </w:div>
        <w:div w:id="1422218502">
          <w:marLeft w:val="0"/>
          <w:marRight w:val="0"/>
          <w:marTop w:val="0"/>
          <w:marBottom w:val="0"/>
          <w:divBdr>
            <w:top w:val="none" w:sz="0" w:space="0" w:color="auto"/>
            <w:left w:val="none" w:sz="0" w:space="0" w:color="auto"/>
            <w:bottom w:val="none" w:sz="0" w:space="0" w:color="auto"/>
            <w:right w:val="none" w:sz="0" w:space="0" w:color="auto"/>
          </w:divBdr>
        </w:div>
        <w:div w:id="2043749833">
          <w:marLeft w:val="0"/>
          <w:marRight w:val="0"/>
          <w:marTop w:val="0"/>
          <w:marBottom w:val="0"/>
          <w:divBdr>
            <w:top w:val="none" w:sz="0" w:space="0" w:color="auto"/>
            <w:left w:val="none" w:sz="0" w:space="0" w:color="auto"/>
            <w:bottom w:val="none" w:sz="0" w:space="0" w:color="auto"/>
            <w:right w:val="none" w:sz="0" w:space="0" w:color="auto"/>
          </w:divBdr>
        </w:div>
      </w:divsChild>
    </w:div>
    <w:div w:id="322709025">
      <w:bodyDiv w:val="1"/>
      <w:marLeft w:val="0"/>
      <w:marRight w:val="0"/>
      <w:marTop w:val="0"/>
      <w:marBottom w:val="0"/>
      <w:divBdr>
        <w:top w:val="none" w:sz="0" w:space="0" w:color="auto"/>
        <w:left w:val="none" w:sz="0" w:space="0" w:color="auto"/>
        <w:bottom w:val="none" w:sz="0" w:space="0" w:color="auto"/>
        <w:right w:val="none" w:sz="0" w:space="0" w:color="auto"/>
      </w:divBdr>
    </w:div>
    <w:div w:id="335957585">
      <w:bodyDiv w:val="1"/>
      <w:marLeft w:val="0"/>
      <w:marRight w:val="0"/>
      <w:marTop w:val="0"/>
      <w:marBottom w:val="0"/>
      <w:divBdr>
        <w:top w:val="none" w:sz="0" w:space="0" w:color="auto"/>
        <w:left w:val="none" w:sz="0" w:space="0" w:color="auto"/>
        <w:bottom w:val="none" w:sz="0" w:space="0" w:color="auto"/>
        <w:right w:val="none" w:sz="0" w:space="0" w:color="auto"/>
      </w:divBdr>
    </w:div>
    <w:div w:id="353577433">
      <w:bodyDiv w:val="1"/>
      <w:marLeft w:val="0"/>
      <w:marRight w:val="0"/>
      <w:marTop w:val="0"/>
      <w:marBottom w:val="0"/>
      <w:divBdr>
        <w:top w:val="none" w:sz="0" w:space="0" w:color="auto"/>
        <w:left w:val="none" w:sz="0" w:space="0" w:color="auto"/>
        <w:bottom w:val="none" w:sz="0" w:space="0" w:color="auto"/>
        <w:right w:val="none" w:sz="0" w:space="0" w:color="auto"/>
      </w:divBdr>
      <w:divsChild>
        <w:div w:id="498277832">
          <w:marLeft w:val="600"/>
          <w:marRight w:val="0"/>
          <w:marTop w:val="0"/>
          <w:marBottom w:val="0"/>
          <w:divBdr>
            <w:top w:val="none" w:sz="0" w:space="0" w:color="auto"/>
            <w:left w:val="none" w:sz="0" w:space="0" w:color="auto"/>
            <w:bottom w:val="none" w:sz="0" w:space="0" w:color="auto"/>
            <w:right w:val="none" w:sz="0" w:space="0" w:color="auto"/>
          </w:divBdr>
          <w:divsChild>
            <w:div w:id="37170410">
              <w:marLeft w:val="0"/>
              <w:marRight w:val="0"/>
              <w:marTop w:val="0"/>
              <w:marBottom w:val="0"/>
              <w:divBdr>
                <w:top w:val="none" w:sz="0" w:space="0" w:color="auto"/>
                <w:left w:val="none" w:sz="0" w:space="0" w:color="auto"/>
                <w:bottom w:val="none" w:sz="0" w:space="0" w:color="auto"/>
                <w:right w:val="none" w:sz="0" w:space="0" w:color="auto"/>
              </w:divBdr>
              <w:divsChild>
                <w:div w:id="1082988218">
                  <w:marLeft w:val="0"/>
                  <w:marRight w:val="0"/>
                  <w:marTop w:val="0"/>
                  <w:marBottom w:val="0"/>
                  <w:divBdr>
                    <w:top w:val="none" w:sz="0" w:space="0" w:color="auto"/>
                    <w:left w:val="none" w:sz="0" w:space="0" w:color="auto"/>
                    <w:bottom w:val="none" w:sz="0" w:space="0" w:color="auto"/>
                    <w:right w:val="none" w:sz="0" w:space="0" w:color="auto"/>
                  </w:divBdr>
                </w:div>
                <w:div w:id="18060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6790">
      <w:bodyDiv w:val="1"/>
      <w:marLeft w:val="0"/>
      <w:marRight w:val="0"/>
      <w:marTop w:val="0"/>
      <w:marBottom w:val="0"/>
      <w:divBdr>
        <w:top w:val="none" w:sz="0" w:space="0" w:color="auto"/>
        <w:left w:val="none" w:sz="0" w:space="0" w:color="auto"/>
        <w:bottom w:val="none" w:sz="0" w:space="0" w:color="auto"/>
        <w:right w:val="none" w:sz="0" w:space="0" w:color="auto"/>
      </w:divBdr>
    </w:div>
    <w:div w:id="366759376">
      <w:bodyDiv w:val="1"/>
      <w:marLeft w:val="0"/>
      <w:marRight w:val="0"/>
      <w:marTop w:val="0"/>
      <w:marBottom w:val="0"/>
      <w:divBdr>
        <w:top w:val="none" w:sz="0" w:space="0" w:color="auto"/>
        <w:left w:val="none" w:sz="0" w:space="0" w:color="auto"/>
        <w:bottom w:val="none" w:sz="0" w:space="0" w:color="auto"/>
        <w:right w:val="none" w:sz="0" w:space="0" w:color="auto"/>
      </w:divBdr>
    </w:div>
    <w:div w:id="374233052">
      <w:bodyDiv w:val="1"/>
      <w:marLeft w:val="0"/>
      <w:marRight w:val="0"/>
      <w:marTop w:val="0"/>
      <w:marBottom w:val="0"/>
      <w:divBdr>
        <w:top w:val="none" w:sz="0" w:space="0" w:color="auto"/>
        <w:left w:val="none" w:sz="0" w:space="0" w:color="auto"/>
        <w:bottom w:val="none" w:sz="0" w:space="0" w:color="auto"/>
        <w:right w:val="none" w:sz="0" w:space="0" w:color="auto"/>
      </w:divBdr>
    </w:div>
    <w:div w:id="377122760">
      <w:bodyDiv w:val="1"/>
      <w:marLeft w:val="0"/>
      <w:marRight w:val="0"/>
      <w:marTop w:val="0"/>
      <w:marBottom w:val="0"/>
      <w:divBdr>
        <w:top w:val="none" w:sz="0" w:space="0" w:color="auto"/>
        <w:left w:val="none" w:sz="0" w:space="0" w:color="auto"/>
        <w:bottom w:val="none" w:sz="0" w:space="0" w:color="auto"/>
        <w:right w:val="none" w:sz="0" w:space="0" w:color="auto"/>
      </w:divBdr>
    </w:div>
    <w:div w:id="377827272">
      <w:bodyDiv w:val="1"/>
      <w:marLeft w:val="0"/>
      <w:marRight w:val="0"/>
      <w:marTop w:val="0"/>
      <w:marBottom w:val="0"/>
      <w:divBdr>
        <w:top w:val="none" w:sz="0" w:space="0" w:color="auto"/>
        <w:left w:val="none" w:sz="0" w:space="0" w:color="auto"/>
        <w:bottom w:val="none" w:sz="0" w:space="0" w:color="auto"/>
        <w:right w:val="none" w:sz="0" w:space="0" w:color="auto"/>
      </w:divBdr>
    </w:div>
    <w:div w:id="379473213">
      <w:bodyDiv w:val="1"/>
      <w:marLeft w:val="0"/>
      <w:marRight w:val="0"/>
      <w:marTop w:val="0"/>
      <w:marBottom w:val="0"/>
      <w:divBdr>
        <w:top w:val="none" w:sz="0" w:space="0" w:color="auto"/>
        <w:left w:val="none" w:sz="0" w:space="0" w:color="auto"/>
        <w:bottom w:val="none" w:sz="0" w:space="0" w:color="auto"/>
        <w:right w:val="none" w:sz="0" w:space="0" w:color="auto"/>
      </w:divBdr>
    </w:div>
    <w:div w:id="380322458">
      <w:bodyDiv w:val="1"/>
      <w:marLeft w:val="0"/>
      <w:marRight w:val="0"/>
      <w:marTop w:val="0"/>
      <w:marBottom w:val="0"/>
      <w:divBdr>
        <w:top w:val="none" w:sz="0" w:space="0" w:color="auto"/>
        <w:left w:val="none" w:sz="0" w:space="0" w:color="auto"/>
        <w:bottom w:val="none" w:sz="0" w:space="0" w:color="auto"/>
        <w:right w:val="none" w:sz="0" w:space="0" w:color="auto"/>
      </w:divBdr>
      <w:divsChild>
        <w:div w:id="1761095317">
          <w:marLeft w:val="0"/>
          <w:marRight w:val="0"/>
          <w:marTop w:val="0"/>
          <w:marBottom w:val="0"/>
          <w:divBdr>
            <w:top w:val="none" w:sz="0" w:space="0" w:color="auto"/>
            <w:left w:val="none" w:sz="0" w:space="0" w:color="auto"/>
            <w:bottom w:val="none" w:sz="0" w:space="0" w:color="auto"/>
            <w:right w:val="none" w:sz="0" w:space="0" w:color="auto"/>
          </w:divBdr>
          <w:divsChild>
            <w:div w:id="378213413">
              <w:marLeft w:val="0"/>
              <w:marRight w:val="0"/>
              <w:marTop w:val="0"/>
              <w:marBottom w:val="0"/>
              <w:divBdr>
                <w:top w:val="none" w:sz="0" w:space="0" w:color="auto"/>
                <w:left w:val="none" w:sz="0" w:space="0" w:color="auto"/>
                <w:bottom w:val="none" w:sz="0" w:space="0" w:color="auto"/>
                <w:right w:val="none" w:sz="0" w:space="0" w:color="auto"/>
              </w:divBdr>
              <w:divsChild>
                <w:div w:id="1504934824">
                  <w:marLeft w:val="0"/>
                  <w:marRight w:val="0"/>
                  <w:marTop w:val="0"/>
                  <w:marBottom w:val="0"/>
                  <w:divBdr>
                    <w:top w:val="none" w:sz="0" w:space="0" w:color="auto"/>
                    <w:left w:val="none" w:sz="0" w:space="0" w:color="auto"/>
                    <w:bottom w:val="none" w:sz="0" w:space="0" w:color="auto"/>
                    <w:right w:val="none" w:sz="0" w:space="0" w:color="auto"/>
                  </w:divBdr>
                  <w:divsChild>
                    <w:div w:id="12135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96615">
      <w:bodyDiv w:val="1"/>
      <w:marLeft w:val="0"/>
      <w:marRight w:val="0"/>
      <w:marTop w:val="0"/>
      <w:marBottom w:val="0"/>
      <w:divBdr>
        <w:top w:val="none" w:sz="0" w:space="0" w:color="auto"/>
        <w:left w:val="none" w:sz="0" w:space="0" w:color="auto"/>
        <w:bottom w:val="none" w:sz="0" w:space="0" w:color="auto"/>
        <w:right w:val="none" w:sz="0" w:space="0" w:color="auto"/>
      </w:divBdr>
      <w:divsChild>
        <w:div w:id="1365252068">
          <w:marLeft w:val="0"/>
          <w:marRight w:val="0"/>
          <w:marTop w:val="0"/>
          <w:marBottom w:val="0"/>
          <w:divBdr>
            <w:top w:val="none" w:sz="0" w:space="0" w:color="auto"/>
            <w:left w:val="none" w:sz="0" w:space="0" w:color="auto"/>
            <w:bottom w:val="none" w:sz="0" w:space="0" w:color="auto"/>
            <w:right w:val="none" w:sz="0" w:space="0" w:color="auto"/>
          </w:divBdr>
          <w:divsChild>
            <w:div w:id="358815854">
              <w:marLeft w:val="0"/>
              <w:marRight w:val="0"/>
              <w:marTop w:val="0"/>
              <w:marBottom w:val="0"/>
              <w:divBdr>
                <w:top w:val="none" w:sz="0" w:space="0" w:color="auto"/>
                <w:left w:val="none" w:sz="0" w:space="0" w:color="auto"/>
                <w:bottom w:val="none" w:sz="0" w:space="0" w:color="auto"/>
                <w:right w:val="none" w:sz="0" w:space="0" w:color="auto"/>
              </w:divBdr>
              <w:divsChild>
                <w:div w:id="8406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658">
      <w:bodyDiv w:val="1"/>
      <w:marLeft w:val="0"/>
      <w:marRight w:val="0"/>
      <w:marTop w:val="0"/>
      <w:marBottom w:val="0"/>
      <w:divBdr>
        <w:top w:val="none" w:sz="0" w:space="0" w:color="auto"/>
        <w:left w:val="none" w:sz="0" w:space="0" w:color="auto"/>
        <w:bottom w:val="none" w:sz="0" w:space="0" w:color="auto"/>
        <w:right w:val="none" w:sz="0" w:space="0" w:color="auto"/>
      </w:divBdr>
    </w:div>
    <w:div w:id="385375664">
      <w:bodyDiv w:val="1"/>
      <w:marLeft w:val="0"/>
      <w:marRight w:val="0"/>
      <w:marTop w:val="0"/>
      <w:marBottom w:val="0"/>
      <w:divBdr>
        <w:top w:val="none" w:sz="0" w:space="0" w:color="auto"/>
        <w:left w:val="none" w:sz="0" w:space="0" w:color="auto"/>
        <w:bottom w:val="none" w:sz="0" w:space="0" w:color="auto"/>
        <w:right w:val="none" w:sz="0" w:space="0" w:color="auto"/>
      </w:divBdr>
    </w:div>
    <w:div w:id="388504325">
      <w:bodyDiv w:val="1"/>
      <w:marLeft w:val="0"/>
      <w:marRight w:val="0"/>
      <w:marTop w:val="0"/>
      <w:marBottom w:val="0"/>
      <w:divBdr>
        <w:top w:val="none" w:sz="0" w:space="0" w:color="auto"/>
        <w:left w:val="none" w:sz="0" w:space="0" w:color="auto"/>
        <w:bottom w:val="none" w:sz="0" w:space="0" w:color="auto"/>
        <w:right w:val="none" w:sz="0" w:space="0" w:color="auto"/>
      </w:divBdr>
    </w:div>
    <w:div w:id="392780923">
      <w:bodyDiv w:val="1"/>
      <w:marLeft w:val="0"/>
      <w:marRight w:val="0"/>
      <w:marTop w:val="0"/>
      <w:marBottom w:val="0"/>
      <w:divBdr>
        <w:top w:val="none" w:sz="0" w:space="0" w:color="auto"/>
        <w:left w:val="none" w:sz="0" w:space="0" w:color="auto"/>
        <w:bottom w:val="none" w:sz="0" w:space="0" w:color="auto"/>
        <w:right w:val="none" w:sz="0" w:space="0" w:color="auto"/>
      </w:divBdr>
    </w:div>
    <w:div w:id="395202454">
      <w:bodyDiv w:val="1"/>
      <w:marLeft w:val="0"/>
      <w:marRight w:val="0"/>
      <w:marTop w:val="0"/>
      <w:marBottom w:val="0"/>
      <w:divBdr>
        <w:top w:val="none" w:sz="0" w:space="0" w:color="auto"/>
        <w:left w:val="none" w:sz="0" w:space="0" w:color="auto"/>
        <w:bottom w:val="none" w:sz="0" w:space="0" w:color="auto"/>
        <w:right w:val="none" w:sz="0" w:space="0" w:color="auto"/>
      </w:divBdr>
    </w:div>
    <w:div w:id="401831007">
      <w:bodyDiv w:val="1"/>
      <w:marLeft w:val="0"/>
      <w:marRight w:val="0"/>
      <w:marTop w:val="0"/>
      <w:marBottom w:val="0"/>
      <w:divBdr>
        <w:top w:val="none" w:sz="0" w:space="0" w:color="auto"/>
        <w:left w:val="none" w:sz="0" w:space="0" w:color="auto"/>
        <w:bottom w:val="none" w:sz="0" w:space="0" w:color="auto"/>
        <w:right w:val="none" w:sz="0" w:space="0" w:color="auto"/>
      </w:divBdr>
    </w:div>
    <w:div w:id="405225689">
      <w:bodyDiv w:val="1"/>
      <w:marLeft w:val="0"/>
      <w:marRight w:val="0"/>
      <w:marTop w:val="0"/>
      <w:marBottom w:val="0"/>
      <w:divBdr>
        <w:top w:val="none" w:sz="0" w:space="0" w:color="auto"/>
        <w:left w:val="none" w:sz="0" w:space="0" w:color="auto"/>
        <w:bottom w:val="none" w:sz="0" w:space="0" w:color="auto"/>
        <w:right w:val="none" w:sz="0" w:space="0" w:color="auto"/>
      </w:divBdr>
    </w:div>
    <w:div w:id="412051096">
      <w:bodyDiv w:val="1"/>
      <w:marLeft w:val="0"/>
      <w:marRight w:val="0"/>
      <w:marTop w:val="0"/>
      <w:marBottom w:val="0"/>
      <w:divBdr>
        <w:top w:val="none" w:sz="0" w:space="0" w:color="auto"/>
        <w:left w:val="none" w:sz="0" w:space="0" w:color="auto"/>
        <w:bottom w:val="none" w:sz="0" w:space="0" w:color="auto"/>
        <w:right w:val="none" w:sz="0" w:space="0" w:color="auto"/>
      </w:divBdr>
      <w:divsChild>
        <w:div w:id="2087798993">
          <w:marLeft w:val="0"/>
          <w:marRight w:val="0"/>
          <w:marTop w:val="0"/>
          <w:marBottom w:val="0"/>
          <w:divBdr>
            <w:top w:val="none" w:sz="0" w:space="0" w:color="auto"/>
            <w:left w:val="none" w:sz="0" w:space="0" w:color="auto"/>
            <w:bottom w:val="none" w:sz="0" w:space="0" w:color="auto"/>
            <w:right w:val="none" w:sz="0" w:space="0" w:color="auto"/>
          </w:divBdr>
          <w:divsChild>
            <w:div w:id="1754156437">
              <w:marLeft w:val="0"/>
              <w:marRight w:val="0"/>
              <w:marTop w:val="0"/>
              <w:marBottom w:val="0"/>
              <w:divBdr>
                <w:top w:val="none" w:sz="0" w:space="0" w:color="auto"/>
                <w:left w:val="none" w:sz="0" w:space="0" w:color="auto"/>
                <w:bottom w:val="none" w:sz="0" w:space="0" w:color="auto"/>
                <w:right w:val="none" w:sz="0" w:space="0" w:color="auto"/>
              </w:divBdr>
              <w:divsChild>
                <w:div w:id="13299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2587">
      <w:bodyDiv w:val="1"/>
      <w:marLeft w:val="0"/>
      <w:marRight w:val="0"/>
      <w:marTop w:val="0"/>
      <w:marBottom w:val="0"/>
      <w:divBdr>
        <w:top w:val="none" w:sz="0" w:space="0" w:color="auto"/>
        <w:left w:val="none" w:sz="0" w:space="0" w:color="auto"/>
        <w:bottom w:val="none" w:sz="0" w:space="0" w:color="auto"/>
        <w:right w:val="none" w:sz="0" w:space="0" w:color="auto"/>
      </w:divBdr>
    </w:div>
    <w:div w:id="428696012">
      <w:bodyDiv w:val="1"/>
      <w:marLeft w:val="0"/>
      <w:marRight w:val="0"/>
      <w:marTop w:val="0"/>
      <w:marBottom w:val="0"/>
      <w:divBdr>
        <w:top w:val="none" w:sz="0" w:space="0" w:color="auto"/>
        <w:left w:val="none" w:sz="0" w:space="0" w:color="auto"/>
        <w:bottom w:val="none" w:sz="0" w:space="0" w:color="auto"/>
        <w:right w:val="none" w:sz="0" w:space="0" w:color="auto"/>
      </w:divBdr>
      <w:divsChild>
        <w:div w:id="200242532">
          <w:marLeft w:val="0"/>
          <w:marRight w:val="0"/>
          <w:marTop w:val="0"/>
          <w:marBottom w:val="0"/>
          <w:divBdr>
            <w:top w:val="none" w:sz="0" w:space="0" w:color="auto"/>
            <w:left w:val="none" w:sz="0" w:space="0" w:color="auto"/>
            <w:bottom w:val="none" w:sz="0" w:space="0" w:color="auto"/>
            <w:right w:val="none" w:sz="0" w:space="0" w:color="auto"/>
          </w:divBdr>
          <w:divsChild>
            <w:div w:id="1058674757">
              <w:marLeft w:val="0"/>
              <w:marRight w:val="0"/>
              <w:marTop w:val="0"/>
              <w:marBottom w:val="0"/>
              <w:divBdr>
                <w:top w:val="none" w:sz="0" w:space="0" w:color="auto"/>
                <w:left w:val="none" w:sz="0" w:space="0" w:color="auto"/>
                <w:bottom w:val="none" w:sz="0" w:space="0" w:color="auto"/>
                <w:right w:val="none" w:sz="0" w:space="0" w:color="auto"/>
              </w:divBdr>
              <w:divsChild>
                <w:div w:id="10284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81004">
      <w:bodyDiv w:val="1"/>
      <w:marLeft w:val="0"/>
      <w:marRight w:val="0"/>
      <w:marTop w:val="0"/>
      <w:marBottom w:val="0"/>
      <w:divBdr>
        <w:top w:val="none" w:sz="0" w:space="0" w:color="auto"/>
        <w:left w:val="none" w:sz="0" w:space="0" w:color="auto"/>
        <w:bottom w:val="none" w:sz="0" w:space="0" w:color="auto"/>
        <w:right w:val="none" w:sz="0" w:space="0" w:color="auto"/>
      </w:divBdr>
    </w:div>
    <w:div w:id="449592202">
      <w:bodyDiv w:val="1"/>
      <w:marLeft w:val="0"/>
      <w:marRight w:val="0"/>
      <w:marTop w:val="0"/>
      <w:marBottom w:val="0"/>
      <w:divBdr>
        <w:top w:val="none" w:sz="0" w:space="0" w:color="auto"/>
        <w:left w:val="none" w:sz="0" w:space="0" w:color="auto"/>
        <w:bottom w:val="none" w:sz="0" w:space="0" w:color="auto"/>
        <w:right w:val="none" w:sz="0" w:space="0" w:color="auto"/>
      </w:divBdr>
    </w:div>
    <w:div w:id="456804186">
      <w:bodyDiv w:val="1"/>
      <w:marLeft w:val="0"/>
      <w:marRight w:val="0"/>
      <w:marTop w:val="0"/>
      <w:marBottom w:val="0"/>
      <w:divBdr>
        <w:top w:val="none" w:sz="0" w:space="0" w:color="auto"/>
        <w:left w:val="none" w:sz="0" w:space="0" w:color="auto"/>
        <w:bottom w:val="none" w:sz="0" w:space="0" w:color="auto"/>
        <w:right w:val="none" w:sz="0" w:space="0" w:color="auto"/>
      </w:divBdr>
    </w:div>
    <w:div w:id="461382273">
      <w:bodyDiv w:val="1"/>
      <w:marLeft w:val="0"/>
      <w:marRight w:val="0"/>
      <w:marTop w:val="0"/>
      <w:marBottom w:val="0"/>
      <w:divBdr>
        <w:top w:val="none" w:sz="0" w:space="0" w:color="auto"/>
        <w:left w:val="none" w:sz="0" w:space="0" w:color="auto"/>
        <w:bottom w:val="none" w:sz="0" w:space="0" w:color="auto"/>
        <w:right w:val="none" w:sz="0" w:space="0" w:color="auto"/>
      </w:divBdr>
    </w:div>
    <w:div w:id="487672648">
      <w:bodyDiv w:val="1"/>
      <w:marLeft w:val="0"/>
      <w:marRight w:val="0"/>
      <w:marTop w:val="0"/>
      <w:marBottom w:val="0"/>
      <w:divBdr>
        <w:top w:val="none" w:sz="0" w:space="0" w:color="auto"/>
        <w:left w:val="none" w:sz="0" w:space="0" w:color="auto"/>
        <w:bottom w:val="none" w:sz="0" w:space="0" w:color="auto"/>
        <w:right w:val="none" w:sz="0" w:space="0" w:color="auto"/>
      </w:divBdr>
    </w:div>
    <w:div w:id="503131439">
      <w:bodyDiv w:val="1"/>
      <w:marLeft w:val="0"/>
      <w:marRight w:val="0"/>
      <w:marTop w:val="0"/>
      <w:marBottom w:val="0"/>
      <w:divBdr>
        <w:top w:val="none" w:sz="0" w:space="0" w:color="auto"/>
        <w:left w:val="none" w:sz="0" w:space="0" w:color="auto"/>
        <w:bottom w:val="none" w:sz="0" w:space="0" w:color="auto"/>
        <w:right w:val="none" w:sz="0" w:space="0" w:color="auto"/>
      </w:divBdr>
    </w:div>
    <w:div w:id="515194307">
      <w:bodyDiv w:val="1"/>
      <w:marLeft w:val="0"/>
      <w:marRight w:val="0"/>
      <w:marTop w:val="0"/>
      <w:marBottom w:val="0"/>
      <w:divBdr>
        <w:top w:val="none" w:sz="0" w:space="0" w:color="auto"/>
        <w:left w:val="none" w:sz="0" w:space="0" w:color="auto"/>
        <w:bottom w:val="none" w:sz="0" w:space="0" w:color="auto"/>
        <w:right w:val="none" w:sz="0" w:space="0" w:color="auto"/>
      </w:divBdr>
    </w:div>
    <w:div w:id="523707931">
      <w:bodyDiv w:val="1"/>
      <w:marLeft w:val="0"/>
      <w:marRight w:val="0"/>
      <w:marTop w:val="0"/>
      <w:marBottom w:val="0"/>
      <w:divBdr>
        <w:top w:val="none" w:sz="0" w:space="0" w:color="auto"/>
        <w:left w:val="none" w:sz="0" w:space="0" w:color="auto"/>
        <w:bottom w:val="none" w:sz="0" w:space="0" w:color="auto"/>
        <w:right w:val="none" w:sz="0" w:space="0" w:color="auto"/>
      </w:divBdr>
    </w:div>
    <w:div w:id="524364757">
      <w:bodyDiv w:val="1"/>
      <w:marLeft w:val="0"/>
      <w:marRight w:val="0"/>
      <w:marTop w:val="0"/>
      <w:marBottom w:val="0"/>
      <w:divBdr>
        <w:top w:val="none" w:sz="0" w:space="0" w:color="auto"/>
        <w:left w:val="none" w:sz="0" w:space="0" w:color="auto"/>
        <w:bottom w:val="none" w:sz="0" w:space="0" w:color="auto"/>
        <w:right w:val="none" w:sz="0" w:space="0" w:color="auto"/>
      </w:divBdr>
    </w:div>
    <w:div w:id="524489359">
      <w:bodyDiv w:val="1"/>
      <w:marLeft w:val="0"/>
      <w:marRight w:val="0"/>
      <w:marTop w:val="0"/>
      <w:marBottom w:val="0"/>
      <w:divBdr>
        <w:top w:val="none" w:sz="0" w:space="0" w:color="auto"/>
        <w:left w:val="none" w:sz="0" w:space="0" w:color="auto"/>
        <w:bottom w:val="none" w:sz="0" w:space="0" w:color="auto"/>
        <w:right w:val="none" w:sz="0" w:space="0" w:color="auto"/>
      </w:divBdr>
    </w:div>
    <w:div w:id="527328881">
      <w:bodyDiv w:val="1"/>
      <w:marLeft w:val="0"/>
      <w:marRight w:val="0"/>
      <w:marTop w:val="0"/>
      <w:marBottom w:val="0"/>
      <w:divBdr>
        <w:top w:val="none" w:sz="0" w:space="0" w:color="auto"/>
        <w:left w:val="none" w:sz="0" w:space="0" w:color="auto"/>
        <w:bottom w:val="none" w:sz="0" w:space="0" w:color="auto"/>
        <w:right w:val="none" w:sz="0" w:space="0" w:color="auto"/>
      </w:divBdr>
    </w:div>
    <w:div w:id="528567218">
      <w:bodyDiv w:val="1"/>
      <w:marLeft w:val="0"/>
      <w:marRight w:val="0"/>
      <w:marTop w:val="0"/>
      <w:marBottom w:val="0"/>
      <w:divBdr>
        <w:top w:val="none" w:sz="0" w:space="0" w:color="auto"/>
        <w:left w:val="none" w:sz="0" w:space="0" w:color="auto"/>
        <w:bottom w:val="none" w:sz="0" w:space="0" w:color="auto"/>
        <w:right w:val="none" w:sz="0" w:space="0" w:color="auto"/>
      </w:divBdr>
      <w:divsChild>
        <w:div w:id="141968940">
          <w:marLeft w:val="0"/>
          <w:marRight w:val="0"/>
          <w:marTop w:val="0"/>
          <w:marBottom w:val="0"/>
          <w:divBdr>
            <w:top w:val="none" w:sz="0" w:space="0" w:color="auto"/>
            <w:left w:val="none" w:sz="0" w:space="0" w:color="auto"/>
            <w:bottom w:val="none" w:sz="0" w:space="0" w:color="auto"/>
            <w:right w:val="none" w:sz="0" w:space="0" w:color="auto"/>
          </w:divBdr>
        </w:div>
      </w:divsChild>
    </w:div>
    <w:div w:id="533463206">
      <w:bodyDiv w:val="1"/>
      <w:marLeft w:val="0"/>
      <w:marRight w:val="0"/>
      <w:marTop w:val="0"/>
      <w:marBottom w:val="0"/>
      <w:divBdr>
        <w:top w:val="none" w:sz="0" w:space="0" w:color="auto"/>
        <w:left w:val="none" w:sz="0" w:space="0" w:color="auto"/>
        <w:bottom w:val="none" w:sz="0" w:space="0" w:color="auto"/>
        <w:right w:val="none" w:sz="0" w:space="0" w:color="auto"/>
      </w:divBdr>
    </w:div>
    <w:div w:id="534006345">
      <w:bodyDiv w:val="1"/>
      <w:marLeft w:val="0"/>
      <w:marRight w:val="0"/>
      <w:marTop w:val="0"/>
      <w:marBottom w:val="0"/>
      <w:divBdr>
        <w:top w:val="none" w:sz="0" w:space="0" w:color="auto"/>
        <w:left w:val="none" w:sz="0" w:space="0" w:color="auto"/>
        <w:bottom w:val="none" w:sz="0" w:space="0" w:color="auto"/>
        <w:right w:val="none" w:sz="0" w:space="0" w:color="auto"/>
      </w:divBdr>
    </w:div>
    <w:div w:id="535505692">
      <w:bodyDiv w:val="1"/>
      <w:marLeft w:val="0"/>
      <w:marRight w:val="0"/>
      <w:marTop w:val="0"/>
      <w:marBottom w:val="0"/>
      <w:divBdr>
        <w:top w:val="none" w:sz="0" w:space="0" w:color="auto"/>
        <w:left w:val="none" w:sz="0" w:space="0" w:color="auto"/>
        <w:bottom w:val="none" w:sz="0" w:space="0" w:color="auto"/>
        <w:right w:val="none" w:sz="0" w:space="0" w:color="auto"/>
      </w:divBdr>
    </w:div>
    <w:div w:id="536744289">
      <w:bodyDiv w:val="1"/>
      <w:marLeft w:val="0"/>
      <w:marRight w:val="0"/>
      <w:marTop w:val="0"/>
      <w:marBottom w:val="0"/>
      <w:divBdr>
        <w:top w:val="none" w:sz="0" w:space="0" w:color="auto"/>
        <w:left w:val="none" w:sz="0" w:space="0" w:color="auto"/>
        <w:bottom w:val="none" w:sz="0" w:space="0" w:color="auto"/>
        <w:right w:val="none" w:sz="0" w:space="0" w:color="auto"/>
      </w:divBdr>
      <w:divsChild>
        <w:div w:id="1635060414">
          <w:marLeft w:val="0"/>
          <w:marRight w:val="0"/>
          <w:marTop w:val="0"/>
          <w:marBottom w:val="0"/>
          <w:divBdr>
            <w:top w:val="none" w:sz="0" w:space="0" w:color="auto"/>
            <w:left w:val="none" w:sz="0" w:space="0" w:color="auto"/>
            <w:bottom w:val="none" w:sz="0" w:space="0" w:color="auto"/>
            <w:right w:val="none" w:sz="0" w:space="0" w:color="auto"/>
          </w:divBdr>
        </w:div>
        <w:div w:id="456341432">
          <w:marLeft w:val="0"/>
          <w:marRight w:val="0"/>
          <w:marTop w:val="0"/>
          <w:marBottom w:val="0"/>
          <w:divBdr>
            <w:top w:val="none" w:sz="0" w:space="0" w:color="auto"/>
            <w:left w:val="none" w:sz="0" w:space="0" w:color="auto"/>
            <w:bottom w:val="none" w:sz="0" w:space="0" w:color="auto"/>
            <w:right w:val="none" w:sz="0" w:space="0" w:color="auto"/>
          </w:divBdr>
        </w:div>
        <w:div w:id="837113595">
          <w:marLeft w:val="0"/>
          <w:marRight w:val="0"/>
          <w:marTop w:val="0"/>
          <w:marBottom w:val="0"/>
          <w:divBdr>
            <w:top w:val="none" w:sz="0" w:space="0" w:color="auto"/>
            <w:left w:val="none" w:sz="0" w:space="0" w:color="auto"/>
            <w:bottom w:val="none" w:sz="0" w:space="0" w:color="auto"/>
            <w:right w:val="none" w:sz="0" w:space="0" w:color="auto"/>
          </w:divBdr>
        </w:div>
        <w:div w:id="1955745167">
          <w:marLeft w:val="0"/>
          <w:marRight w:val="0"/>
          <w:marTop w:val="0"/>
          <w:marBottom w:val="0"/>
          <w:divBdr>
            <w:top w:val="none" w:sz="0" w:space="0" w:color="auto"/>
            <w:left w:val="none" w:sz="0" w:space="0" w:color="auto"/>
            <w:bottom w:val="none" w:sz="0" w:space="0" w:color="auto"/>
            <w:right w:val="none" w:sz="0" w:space="0" w:color="auto"/>
          </w:divBdr>
        </w:div>
        <w:div w:id="11805013">
          <w:marLeft w:val="0"/>
          <w:marRight w:val="0"/>
          <w:marTop w:val="0"/>
          <w:marBottom w:val="0"/>
          <w:divBdr>
            <w:top w:val="none" w:sz="0" w:space="0" w:color="auto"/>
            <w:left w:val="none" w:sz="0" w:space="0" w:color="auto"/>
            <w:bottom w:val="none" w:sz="0" w:space="0" w:color="auto"/>
            <w:right w:val="none" w:sz="0" w:space="0" w:color="auto"/>
          </w:divBdr>
        </w:div>
        <w:div w:id="1304702406">
          <w:marLeft w:val="0"/>
          <w:marRight w:val="0"/>
          <w:marTop w:val="0"/>
          <w:marBottom w:val="0"/>
          <w:divBdr>
            <w:top w:val="none" w:sz="0" w:space="0" w:color="auto"/>
            <w:left w:val="none" w:sz="0" w:space="0" w:color="auto"/>
            <w:bottom w:val="none" w:sz="0" w:space="0" w:color="auto"/>
            <w:right w:val="none" w:sz="0" w:space="0" w:color="auto"/>
          </w:divBdr>
        </w:div>
      </w:divsChild>
    </w:div>
    <w:div w:id="539780686">
      <w:bodyDiv w:val="1"/>
      <w:marLeft w:val="0"/>
      <w:marRight w:val="0"/>
      <w:marTop w:val="0"/>
      <w:marBottom w:val="0"/>
      <w:divBdr>
        <w:top w:val="none" w:sz="0" w:space="0" w:color="auto"/>
        <w:left w:val="none" w:sz="0" w:space="0" w:color="auto"/>
        <w:bottom w:val="none" w:sz="0" w:space="0" w:color="auto"/>
        <w:right w:val="none" w:sz="0" w:space="0" w:color="auto"/>
      </w:divBdr>
    </w:div>
    <w:div w:id="545726711">
      <w:bodyDiv w:val="1"/>
      <w:marLeft w:val="0"/>
      <w:marRight w:val="0"/>
      <w:marTop w:val="0"/>
      <w:marBottom w:val="0"/>
      <w:divBdr>
        <w:top w:val="none" w:sz="0" w:space="0" w:color="auto"/>
        <w:left w:val="none" w:sz="0" w:space="0" w:color="auto"/>
        <w:bottom w:val="none" w:sz="0" w:space="0" w:color="auto"/>
        <w:right w:val="none" w:sz="0" w:space="0" w:color="auto"/>
      </w:divBdr>
    </w:div>
    <w:div w:id="554243191">
      <w:bodyDiv w:val="1"/>
      <w:marLeft w:val="0"/>
      <w:marRight w:val="0"/>
      <w:marTop w:val="0"/>
      <w:marBottom w:val="0"/>
      <w:divBdr>
        <w:top w:val="none" w:sz="0" w:space="0" w:color="auto"/>
        <w:left w:val="none" w:sz="0" w:space="0" w:color="auto"/>
        <w:bottom w:val="none" w:sz="0" w:space="0" w:color="auto"/>
        <w:right w:val="none" w:sz="0" w:space="0" w:color="auto"/>
      </w:divBdr>
    </w:div>
    <w:div w:id="554439293">
      <w:bodyDiv w:val="1"/>
      <w:marLeft w:val="0"/>
      <w:marRight w:val="0"/>
      <w:marTop w:val="0"/>
      <w:marBottom w:val="0"/>
      <w:divBdr>
        <w:top w:val="none" w:sz="0" w:space="0" w:color="auto"/>
        <w:left w:val="none" w:sz="0" w:space="0" w:color="auto"/>
        <w:bottom w:val="none" w:sz="0" w:space="0" w:color="auto"/>
        <w:right w:val="none" w:sz="0" w:space="0" w:color="auto"/>
      </w:divBdr>
    </w:div>
    <w:div w:id="555168737">
      <w:bodyDiv w:val="1"/>
      <w:marLeft w:val="0"/>
      <w:marRight w:val="0"/>
      <w:marTop w:val="0"/>
      <w:marBottom w:val="0"/>
      <w:divBdr>
        <w:top w:val="none" w:sz="0" w:space="0" w:color="auto"/>
        <w:left w:val="none" w:sz="0" w:space="0" w:color="auto"/>
        <w:bottom w:val="none" w:sz="0" w:space="0" w:color="auto"/>
        <w:right w:val="none" w:sz="0" w:space="0" w:color="auto"/>
      </w:divBdr>
    </w:div>
    <w:div w:id="562831109">
      <w:bodyDiv w:val="1"/>
      <w:marLeft w:val="0"/>
      <w:marRight w:val="0"/>
      <w:marTop w:val="0"/>
      <w:marBottom w:val="0"/>
      <w:divBdr>
        <w:top w:val="none" w:sz="0" w:space="0" w:color="auto"/>
        <w:left w:val="none" w:sz="0" w:space="0" w:color="auto"/>
        <w:bottom w:val="none" w:sz="0" w:space="0" w:color="auto"/>
        <w:right w:val="none" w:sz="0" w:space="0" w:color="auto"/>
      </w:divBdr>
    </w:div>
    <w:div w:id="575747353">
      <w:bodyDiv w:val="1"/>
      <w:marLeft w:val="0"/>
      <w:marRight w:val="0"/>
      <w:marTop w:val="0"/>
      <w:marBottom w:val="0"/>
      <w:divBdr>
        <w:top w:val="none" w:sz="0" w:space="0" w:color="auto"/>
        <w:left w:val="none" w:sz="0" w:space="0" w:color="auto"/>
        <w:bottom w:val="none" w:sz="0" w:space="0" w:color="auto"/>
        <w:right w:val="none" w:sz="0" w:space="0" w:color="auto"/>
      </w:divBdr>
    </w:div>
    <w:div w:id="582372818">
      <w:bodyDiv w:val="1"/>
      <w:marLeft w:val="0"/>
      <w:marRight w:val="0"/>
      <w:marTop w:val="0"/>
      <w:marBottom w:val="0"/>
      <w:divBdr>
        <w:top w:val="none" w:sz="0" w:space="0" w:color="auto"/>
        <w:left w:val="none" w:sz="0" w:space="0" w:color="auto"/>
        <w:bottom w:val="none" w:sz="0" w:space="0" w:color="auto"/>
        <w:right w:val="none" w:sz="0" w:space="0" w:color="auto"/>
      </w:divBdr>
    </w:div>
    <w:div w:id="586112212">
      <w:bodyDiv w:val="1"/>
      <w:marLeft w:val="0"/>
      <w:marRight w:val="0"/>
      <w:marTop w:val="0"/>
      <w:marBottom w:val="0"/>
      <w:divBdr>
        <w:top w:val="none" w:sz="0" w:space="0" w:color="auto"/>
        <w:left w:val="none" w:sz="0" w:space="0" w:color="auto"/>
        <w:bottom w:val="none" w:sz="0" w:space="0" w:color="auto"/>
        <w:right w:val="none" w:sz="0" w:space="0" w:color="auto"/>
      </w:divBdr>
    </w:div>
    <w:div w:id="592127973">
      <w:bodyDiv w:val="1"/>
      <w:marLeft w:val="0"/>
      <w:marRight w:val="0"/>
      <w:marTop w:val="0"/>
      <w:marBottom w:val="0"/>
      <w:divBdr>
        <w:top w:val="none" w:sz="0" w:space="0" w:color="auto"/>
        <w:left w:val="none" w:sz="0" w:space="0" w:color="auto"/>
        <w:bottom w:val="none" w:sz="0" w:space="0" w:color="auto"/>
        <w:right w:val="none" w:sz="0" w:space="0" w:color="auto"/>
      </w:divBdr>
    </w:div>
    <w:div w:id="593132059">
      <w:bodyDiv w:val="1"/>
      <w:marLeft w:val="0"/>
      <w:marRight w:val="0"/>
      <w:marTop w:val="0"/>
      <w:marBottom w:val="0"/>
      <w:divBdr>
        <w:top w:val="none" w:sz="0" w:space="0" w:color="auto"/>
        <w:left w:val="none" w:sz="0" w:space="0" w:color="auto"/>
        <w:bottom w:val="none" w:sz="0" w:space="0" w:color="auto"/>
        <w:right w:val="none" w:sz="0" w:space="0" w:color="auto"/>
      </w:divBdr>
    </w:div>
    <w:div w:id="603851168">
      <w:bodyDiv w:val="1"/>
      <w:marLeft w:val="0"/>
      <w:marRight w:val="0"/>
      <w:marTop w:val="0"/>
      <w:marBottom w:val="0"/>
      <w:divBdr>
        <w:top w:val="none" w:sz="0" w:space="0" w:color="auto"/>
        <w:left w:val="none" w:sz="0" w:space="0" w:color="auto"/>
        <w:bottom w:val="none" w:sz="0" w:space="0" w:color="auto"/>
        <w:right w:val="none" w:sz="0" w:space="0" w:color="auto"/>
      </w:divBdr>
      <w:divsChild>
        <w:div w:id="1891964026">
          <w:marLeft w:val="0"/>
          <w:marRight w:val="0"/>
          <w:marTop w:val="0"/>
          <w:marBottom w:val="0"/>
          <w:divBdr>
            <w:top w:val="none" w:sz="0" w:space="0" w:color="auto"/>
            <w:left w:val="none" w:sz="0" w:space="0" w:color="auto"/>
            <w:bottom w:val="none" w:sz="0" w:space="0" w:color="auto"/>
            <w:right w:val="none" w:sz="0" w:space="0" w:color="auto"/>
          </w:divBdr>
          <w:divsChild>
            <w:div w:id="1412197203">
              <w:marLeft w:val="0"/>
              <w:marRight w:val="0"/>
              <w:marTop w:val="0"/>
              <w:marBottom w:val="0"/>
              <w:divBdr>
                <w:top w:val="none" w:sz="0" w:space="0" w:color="auto"/>
                <w:left w:val="none" w:sz="0" w:space="0" w:color="auto"/>
                <w:bottom w:val="none" w:sz="0" w:space="0" w:color="auto"/>
                <w:right w:val="none" w:sz="0" w:space="0" w:color="auto"/>
              </w:divBdr>
              <w:divsChild>
                <w:div w:id="2037847450">
                  <w:marLeft w:val="0"/>
                  <w:marRight w:val="0"/>
                  <w:marTop w:val="0"/>
                  <w:marBottom w:val="0"/>
                  <w:divBdr>
                    <w:top w:val="none" w:sz="0" w:space="0" w:color="auto"/>
                    <w:left w:val="none" w:sz="0" w:space="0" w:color="auto"/>
                    <w:bottom w:val="none" w:sz="0" w:space="0" w:color="auto"/>
                    <w:right w:val="none" w:sz="0" w:space="0" w:color="auto"/>
                  </w:divBdr>
                  <w:divsChild>
                    <w:div w:id="1163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45730">
      <w:bodyDiv w:val="1"/>
      <w:marLeft w:val="0"/>
      <w:marRight w:val="0"/>
      <w:marTop w:val="0"/>
      <w:marBottom w:val="0"/>
      <w:divBdr>
        <w:top w:val="none" w:sz="0" w:space="0" w:color="auto"/>
        <w:left w:val="none" w:sz="0" w:space="0" w:color="auto"/>
        <w:bottom w:val="none" w:sz="0" w:space="0" w:color="auto"/>
        <w:right w:val="none" w:sz="0" w:space="0" w:color="auto"/>
      </w:divBdr>
    </w:div>
    <w:div w:id="606231858">
      <w:bodyDiv w:val="1"/>
      <w:marLeft w:val="0"/>
      <w:marRight w:val="0"/>
      <w:marTop w:val="0"/>
      <w:marBottom w:val="0"/>
      <w:divBdr>
        <w:top w:val="none" w:sz="0" w:space="0" w:color="auto"/>
        <w:left w:val="none" w:sz="0" w:space="0" w:color="auto"/>
        <w:bottom w:val="none" w:sz="0" w:space="0" w:color="auto"/>
        <w:right w:val="none" w:sz="0" w:space="0" w:color="auto"/>
      </w:divBdr>
    </w:div>
    <w:div w:id="612128750">
      <w:bodyDiv w:val="1"/>
      <w:marLeft w:val="0"/>
      <w:marRight w:val="0"/>
      <w:marTop w:val="0"/>
      <w:marBottom w:val="0"/>
      <w:divBdr>
        <w:top w:val="none" w:sz="0" w:space="0" w:color="auto"/>
        <w:left w:val="none" w:sz="0" w:space="0" w:color="auto"/>
        <w:bottom w:val="none" w:sz="0" w:space="0" w:color="auto"/>
        <w:right w:val="none" w:sz="0" w:space="0" w:color="auto"/>
      </w:divBdr>
      <w:divsChild>
        <w:div w:id="1504053736">
          <w:marLeft w:val="0"/>
          <w:marRight w:val="0"/>
          <w:marTop w:val="0"/>
          <w:marBottom w:val="0"/>
          <w:divBdr>
            <w:top w:val="none" w:sz="0" w:space="0" w:color="auto"/>
            <w:left w:val="none" w:sz="0" w:space="0" w:color="auto"/>
            <w:bottom w:val="none" w:sz="0" w:space="0" w:color="auto"/>
            <w:right w:val="none" w:sz="0" w:space="0" w:color="auto"/>
          </w:divBdr>
        </w:div>
      </w:divsChild>
    </w:div>
    <w:div w:id="612521384">
      <w:bodyDiv w:val="1"/>
      <w:marLeft w:val="0"/>
      <w:marRight w:val="0"/>
      <w:marTop w:val="0"/>
      <w:marBottom w:val="0"/>
      <w:divBdr>
        <w:top w:val="none" w:sz="0" w:space="0" w:color="auto"/>
        <w:left w:val="none" w:sz="0" w:space="0" w:color="auto"/>
        <w:bottom w:val="none" w:sz="0" w:space="0" w:color="auto"/>
        <w:right w:val="none" w:sz="0" w:space="0" w:color="auto"/>
      </w:divBdr>
      <w:divsChild>
        <w:div w:id="550194199">
          <w:marLeft w:val="0"/>
          <w:marRight w:val="0"/>
          <w:marTop w:val="0"/>
          <w:marBottom w:val="0"/>
          <w:divBdr>
            <w:top w:val="none" w:sz="0" w:space="0" w:color="auto"/>
            <w:left w:val="none" w:sz="0" w:space="0" w:color="auto"/>
            <w:bottom w:val="none" w:sz="0" w:space="0" w:color="auto"/>
            <w:right w:val="none" w:sz="0" w:space="0" w:color="auto"/>
          </w:divBdr>
          <w:divsChild>
            <w:div w:id="1749958955">
              <w:marLeft w:val="0"/>
              <w:marRight w:val="0"/>
              <w:marTop w:val="0"/>
              <w:marBottom w:val="0"/>
              <w:divBdr>
                <w:top w:val="none" w:sz="0" w:space="0" w:color="auto"/>
                <w:left w:val="none" w:sz="0" w:space="0" w:color="auto"/>
                <w:bottom w:val="none" w:sz="0" w:space="0" w:color="auto"/>
                <w:right w:val="none" w:sz="0" w:space="0" w:color="auto"/>
              </w:divBdr>
              <w:divsChild>
                <w:div w:id="441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4779">
      <w:bodyDiv w:val="1"/>
      <w:marLeft w:val="0"/>
      <w:marRight w:val="0"/>
      <w:marTop w:val="0"/>
      <w:marBottom w:val="0"/>
      <w:divBdr>
        <w:top w:val="none" w:sz="0" w:space="0" w:color="auto"/>
        <w:left w:val="none" w:sz="0" w:space="0" w:color="auto"/>
        <w:bottom w:val="none" w:sz="0" w:space="0" w:color="auto"/>
        <w:right w:val="none" w:sz="0" w:space="0" w:color="auto"/>
      </w:divBdr>
    </w:div>
    <w:div w:id="637491849">
      <w:bodyDiv w:val="1"/>
      <w:marLeft w:val="0"/>
      <w:marRight w:val="0"/>
      <w:marTop w:val="0"/>
      <w:marBottom w:val="0"/>
      <w:divBdr>
        <w:top w:val="none" w:sz="0" w:space="0" w:color="auto"/>
        <w:left w:val="none" w:sz="0" w:space="0" w:color="auto"/>
        <w:bottom w:val="none" w:sz="0" w:space="0" w:color="auto"/>
        <w:right w:val="none" w:sz="0" w:space="0" w:color="auto"/>
      </w:divBdr>
    </w:div>
    <w:div w:id="637759158">
      <w:bodyDiv w:val="1"/>
      <w:marLeft w:val="0"/>
      <w:marRight w:val="0"/>
      <w:marTop w:val="0"/>
      <w:marBottom w:val="0"/>
      <w:divBdr>
        <w:top w:val="none" w:sz="0" w:space="0" w:color="auto"/>
        <w:left w:val="none" w:sz="0" w:space="0" w:color="auto"/>
        <w:bottom w:val="none" w:sz="0" w:space="0" w:color="auto"/>
        <w:right w:val="none" w:sz="0" w:space="0" w:color="auto"/>
      </w:divBdr>
    </w:div>
    <w:div w:id="650208325">
      <w:bodyDiv w:val="1"/>
      <w:marLeft w:val="0"/>
      <w:marRight w:val="0"/>
      <w:marTop w:val="0"/>
      <w:marBottom w:val="0"/>
      <w:divBdr>
        <w:top w:val="none" w:sz="0" w:space="0" w:color="auto"/>
        <w:left w:val="none" w:sz="0" w:space="0" w:color="auto"/>
        <w:bottom w:val="none" w:sz="0" w:space="0" w:color="auto"/>
        <w:right w:val="none" w:sz="0" w:space="0" w:color="auto"/>
      </w:divBdr>
    </w:div>
    <w:div w:id="650868376">
      <w:bodyDiv w:val="1"/>
      <w:marLeft w:val="0"/>
      <w:marRight w:val="0"/>
      <w:marTop w:val="0"/>
      <w:marBottom w:val="0"/>
      <w:divBdr>
        <w:top w:val="none" w:sz="0" w:space="0" w:color="auto"/>
        <w:left w:val="none" w:sz="0" w:space="0" w:color="auto"/>
        <w:bottom w:val="none" w:sz="0" w:space="0" w:color="auto"/>
        <w:right w:val="none" w:sz="0" w:space="0" w:color="auto"/>
      </w:divBdr>
    </w:div>
    <w:div w:id="669217952">
      <w:bodyDiv w:val="1"/>
      <w:marLeft w:val="0"/>
      <w:marRight w:val="0"/>
      <w:marTop w:val="0"/>
      <w:marBottom w:val="0"/>
      <w:divBdr>
        <w:top w:val="none" w:sz="0" w:space="0" w:color="auto"/>
        <w:left w:val="none" w:sz="0" w:space="0" w:color="auto"/>
        <w:bottom w:val="none" w:sz="0" w:space="0" w:color="auto"/>
        <w:right w:val="none" w:sz="0" w:space="0" w:color="auto"/>
      </w:divBdr>
    </w:div>
    <w:div w:id="682586459">
      <w:bodyDiv w:val="1"/>
      <w:marLeft w:val="0"/>
      <w:marRight w:val="0"/>
      <w:marTop w:val="0"/>
      <w:marBottom w:val="0"/>
      <w:divBdr>
        <w:top w:val="none" w:sz="0" w:space="0" w:color="auto"/>
        <w:left w:val="none" w:sz="0" w:space="0" w:color="auto"/>
        <w:bottom w:val="none" w:sz="0" w:space="0" w:color="auto"/>
        <w:right w:val="none" w:sz="0" w:space="0" w:color="auto"/>
      </w:divBdr>
    </w:div>
    <w:div w:id="694773418">
      <w:bodyDiv w:val="1"/>
      <w:marLeft w:val="0"/>
      <w:marRight w:val="0"/>
      <w:marTop w:val="0"/>
      <w:marBottom w:val="0"/>
      <w:divBdr>
        <w:top w:val="none" w:sz="0" w:space="0" w:color="auto"/>
        <w:left w:val="none" w:sz="0" w:space="0" w:color="auto"/>
        <w:bottom w:val="none" w:sz="0" w:space="0" w:color="auto"/>
        <w:right w:val="none" w:sz="0" w:space="0" w:color="auto"/>
      </w:divBdr>
    </w:div>
    <w:div w:id="695618075">
      <w:bodyDiv w:val="1"/>
      <w:marLeft w:val="0"/>
      <w:marRight w:val="0"/>
      <w:marTop w:val="0"/>
      <w:marBottom w:val="0"/>
      <w:divBdr>
        <w:top w:val="none" w:sz="0" w:space="0" w:color="auto"/>
        <w:left w:val="none" w:sz="0" w:space="0" w:color="auto"/>
        <w:bottom w:val="none" w:sz="0" w:space="0" w:color="auto"/>
        <w:right w:val="none" w:sz="0" w:space="0" w:color="auto"/>
      </w:divBdr>
    </w:div>
    <w:div w:id="700205592">
      <w:bodyDiv w:val="1"/>
      <w:marLeft w:val="0"/>
      <w:marRight w:val="0"/>
      <w:marTop w:val="0"/>
      <w:marBottom w:val="0"/>
      <w:divBdr>
        <w:top w:val="none" w:sz="0" w:space="0" w:color="auto"/>
        <w:left w:val="none" w:sz="0" w:space="0" w:color="auto"/>
        <w:bottom w:val="none" w:sz="0" w:space="0" w:color="auto"/>
        <w:right w:val="none" w:sz="0" w:space="0" w:color="auto"/>
      </w:divBdr>
    </w:div>
    <w:div w:id="711416834">
      <w:bodyDiv w:val="1"/>
      <w:marLeft w:val="0"/>
      <w:marRight w:val="0"/>
      <w:marTop w:val="0"/>
      <w:marBottom w:val="0"/>
      <w:divBdr>
        <w:top w:val="none" w:sz="0" w:space="0" w:color="auto"/>
        <w:left w:val="none" w:sz="0" w:space="0" w:color="auto"/>
        <w:bottom w:val="none" w:sz="0" w:space="0" w:color="auto"/>
        <w:right w:val="none" w:sz="0" w:space="0" w:color="auto"/>
      </w:divBdr>
    </w:div>
    <w:div w:id="714157657">
      <w:bodyDiv w:val="1"/>
      <w:marLeft w:val="0"/>
      <w:marRight w:val="0"/>
      <w:marTop w:val="0"/>
      <w:marBottom w:val="0"/>
      <w:divBdr>
        <w:top w:val="none" w:sz="0" w:space="0" w:color="auto"/>
        <w:left w:val="none" w:sz="0" w:space="0" w:color="auto"/>
        <w:bottom w:val="none" w:sz="0" w:space="0" w:color="auto"/>
        <w:right w:val="none" w:sz="0" w:space="0" w:color="auto"/>
      </w:divBdr>
    </w:div>
    <w:div w:id="716511982">
      <w:bodyDiv w:val="1"/>
      <w:marLeft w:val="0"/>
      <w:marRight w:val="0"/>
      <w:marTop w:val="0"/>
      <w:marBottom w:val="0"/>
      <w:divBdr>
        <w:top w:val="none" w:sz="0" w:space="0" w:color="auto"/>
        <w:left w:val="none" w:sz="0" w:space="0" w:color="auto"/>
        <w:bottom w:val="none" w:sz="0" w:space="0" w:color="auto"/>
        <w:right w:val="none" w:sz="0" w:space="0" w:color="auto"/>
      </w:divBdr>
    </w:div>
    <w:div w:id="718015705">
      <w:bodyDiv w:val="1"/>
      <w:marLeft w:val="0"/>
      <w:marRight w:val="0"/>
      <w:marTop w:val="0"/>
      <w:marBottom w:val="0"/>
      <w:divBdr>
        <w:top w:val="none" w:sz="0" w:space="0" w:color="auto"/>
        <w:left w:val="none" w:sz="0" w:space="0" w:color="auto"/>
        <w:bottom w:val="none" w:sz="0" w:space="0" w:color="auto"/>
        <w:right w:val="none" w:sz="0" w:space="0" w:color="auto"/>
      </w:divBdr>
    </w:div>
    <w:div w:id="726689972">
      <w:bodyDiv w:val="1"/>
      <w:marLeft w:val="0"/>
      <w:marRight w:val="0"/>
      <w:marTop w:val="0"/>
      <w:marBottom w:val="0"/>
      <w:divBdr>
        <w:top w:val="none" w:sz="0" w:space="0" w:color="auto"/>
        <w:left w:val="none" w:sz="0" w:space="0" w:color="auto"/>
        <w:bottom w:val="none" w:sz="0" w:space="0" w:color="auto"/>
        <w:right w:val="none" w:sz="0" w:space="0" w:color="auto"/>
      </w:divBdr>
    </w:div>
    <w:div w:id="730082182">
      <w:bodyDiv w:val="1"/>
      <w:marLeft w:val="0"/>
      <w:marRight w:val="0"/>
      <w:marTop w:val="0"/>
      <w:marBottom w:val="0"/>
      <w:divBdr>
        <w:top w:val="none" w:sz="0" w:space="0" w:color="auto"/>
        <w:left w:val="none" w:sz="0" w:space="0" w:color="auto"/>
        <w:bottom w:val="none" w:sz="0" w:space="0" w:color="auto"/>
        <w:right w:val="none" w:sz="0" w:space="0" w:color="auto"/>
      </w:divBdr>
    </w:div>
    <w:div w:id="733427181">
      <w:bodyDiv w:val="1"/>
      <w:marLeft w:val="0"/>
      <w:marRight w:val="0"/>
      <w:marTop w:val="0"/>
      <w:marBottom w:val="0"/>
      <w:divBdr>
        <w:top w:val="none" w:sz="0" w:space="0" w:color="auto"/>
        <w:left w:val="none" w:sz="0" w:space="0" w:color="auto"/>
        <w:bottom w:val="none" w:sz="0" w:space="0" w:color="auto"/>
        <w:right w:val="none" w:sz="0" w:space="0" w:color="auto"/>
      </w:divBdr>
      <w:divsChild>
        <w:div w:id="739249054">
          <w:marLeft w:val="0"/>
          <w:marRight w:val="0"/>
          <w:marTop w:val="0"/>
          <w:marBottom w:val="0"/>
          <w:divBdr>
            <w:top w:val="none" w:sz="0" w:space="0" w:color="auto"/>
            <w:left w:val="none" w:sz="0" w:space="0" w:color="auto"/>
            <w:bottom w:val="none" w:sz="0" w:space="0" w:color="auto"/>
            <w:right w:val="none" w:sz="0" w:space="0" w:color="auto"/>
          </w:divBdr>
          <w:divsChild>
            <w:div w:id="1794248553">
              <w:marLeft w:val="0"/>
              <w:marRight w:val="0"/>
              <w:marTop w:val="0"/>
              <w:marBottom w:val="0"/>
              <w:divBdr>
                <w:top w:val="none" w:sz="0" w:space="0" w:color="auto"/>
                <w:left w:val="none" w:sz="0" w:space="0" w:color="auto"/>
                <w:bottom w:val="none" w:sz="0" w:space="0" w:color="auto"/>
                <w:right w:val="none" w:sz="0" w:space="0" w:color="auto"/>
              </w:divBdr>
              <w:divsChild>
                <w:div w:id="237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7290">
      <w:bodyDiv w:val="1"/>
      <w:marLeft w:val="0"/>
      <w:marRight w:val="0"/>
      <w:marTop w:val="0"/>
      <w:marBottom w:val="0"/>
      <w:divBdr>
        <w:top w:val="none" w:sz="0" w:space="0" w:color="auto"/>
        <w:left w:val="none" w:sz="0" w:space="0" w:color="auto"/>
        <w:bottom w:val="none" w:sz="0" w:space="0" w:color="auto"/>
        <w:right w:val="none" w:sz="0" w:space="0" w:color="auto"/>
      </w:divBdr>
    </w:div>
    <w:div w:id="743994939">
      <w:bodyDiv w:val="1"/>
      <w:marLeft w:val="0"/>
      <w:marRight w:val="0"/>
      <w:marTop w:val="0"/>
      <w:marBottom w:val="0"/>
      <w:divBdr>
        <w:top w:val="none" w:sz="0" w:space="0" w:color="auto"/>
        <w:left w:val="none" w:sz="0" w:space="0" w:color="auto"/>
        <w:bottom w:val="none" w:sz="0" w:space="0" w:color="auto"/>
        <w:right w:val="none" w:sz="0" w:space="0" w:color="auto"/>
      </w:divBdr>
    </w:div>
    <w:div w:id="752318349">
      <w:bodyDiv w:val="1"/>
      <w:marLeft w:val="0"/>
      <w:marRight w:val="0"/>
      <w:marTop w:val="0"/>
      <w:marBottom w:val="0"/>
      <w:divBdr>
        <w:top w:val="none" w:sz="0" w:space="0" w:color="auto"/>
        <w:left w:val="none" w:sz="0" w:space="0" w:color="auto"/>
        <w:bottom w:val="none" w:sz="0" w:space="0" w:color="auto"/>
        <w:right w:val="none" w:sz="0" w:space="0" w:color="auto"/>
      </w:divBdr>
    </w:div>
    <w:div w:id="758064483">
      <w:bodyDiv w:val="1"/>
      <w:marLeft w:val="0"/>
      <w:marRight w:val="0"/>
      <w:marTop w:val="0"/>
      <w:marBottom w:val="0"/>
      <w:divBdr>
        <w:top w:val="none" w:sz="0" w:space="0" w:color="auto"/>
        <w:left w:val="none" w:sz="0" w:space="0" w:color="auto"/>
        <w:bottom w:val="none" w:sz="0" w:space="0" w:color="auto"/>
        <w:right w:val="none" w:sz="0" w:space="0" w:color="auto"/>
      </w:divBdr>
    </w:div>
    <w:div w:id="765812727">
      <w:bodyDiv w:val="1"/>
      <w:marLeft w:val="0"/>
      <w:marRight w:val="0"/>
      <w:marTop w:val="0"/>
      <w:marBottom w:val="0"/>
      <w:divBdr>
        <w:top w:val="none" w:sz="0" w:space="0" w:color="auto"/>
        <w:left w:val="none" w:sz="0" w:space="0" w:color="auto"/>
        <w:bottom w:val="none" w:sz="0" w:space="0" w:color="auto"/>
        <w:right w:val="none" w:sz="0" w:space="0" w:color="auto"/>
      </w:divBdr>
      <w:divsChild>
        <w:div w:id="1446196646">
          <w:marLeft w:val="0"/>
          <w:marRight w:val="0"/>
          <w:marTop w:val="0"/>
          <w:marBottom w:val="0"/>
          <w:divBdr>
            <w:top w:val="none" w:sz="0" w:space="0" w:color="auto"/>
            <w:left w:val="none" w:sz="0" w:space="0" w:color="auto"/>
            <w:bottom w:val="none" w:sz="0" w:space="0" w:color="auto"/>
            <w:right w:val="none" w:sz="0" w:space="0" w:color="auto"/>
          </w:divBdr>
        </w:div>
      </w:divsChild>
    </w:div>
    <w:div w:id="767042623">
      <w:bodyDiv w:val="1"/>
      <w:marLeft w:val="0"/>
      <w:marRight w:val="0"/>
      <w:marTop w:val="0"/>
      <w:marBottom w:val="0"/>
      <w:divBdr>
        <w:top w:val="none" w:sz="0" w:space="0" w:color="auto"/>
        <w:left w:val="none" w:sz="0" w:space="0" w:color="auto"/>
        <w:bottom w:val="none" w:sz="0" w:space="0" w:color="auto"/>
        <w:right w:val="none" w:sz="0" w:space="0" w:color="auto"/>
      </w:divBdr>
      <w:divsChild>
        <w:div w:id="1120950587">
          <w:marLeft w:val="0"/>
          <w:marRight w:val="0"/>
          <w:marTop w:val="0"/>
          <w:marBottom w:val="0"/>
          <w:divBdr>
            <w:top w:val="none" w:sz="0" w:space="0" w:color="auto"/>
            <w:left w:val="none" w:sz="0" w:space="0" w:color="auto"/>
            <w:bottom w:val="none" w:sz="0" w:space="0" w:color="auto"/>
            <w:right w:val="none" w:sz="0" w:space="0" w:color="auto"/>
          </w:divBdr>
          <w:divsChild>
            <w:div w:id="2050179245">
              <w:marLeft w:val="0"/>
              <w:marRight w:val="0"/>
              <w:marTop w:val="0"/>
              <w:marBottom w:val="0"/>
              <w:divBdr>
                <w:top w:val="none" w:sz="0" w:space="0" w:color="auto"/>
                <w:left w:val="none" w:sz="0" w:space="0" w:color="auto"/>
                <w:bottom w:val="none" w:sz="0" w:space="0" w:color="auto"/>
                <w:right w:val="none" w:sz="0" w:space="0" w:color="auto"/>
              </w:divBdr>
            </w:div>
          </w:divsChild>
        </w:div>
        <w:div w:id="1613781813">
          <w:marLeft w:val="0"/>
          <w:marRight w:val="0"/>
          <w:marTop w:val="0"/>
          <w:marBottom w:val="0"/>
          <w:divBdr>
            <w:top w:val="none" w:sz="0" w:space="0" w:color="auto"/>
            <w:left w:val="none" w:sz="0" w:space="0" w:color="auto"/>
            <w:bottom w:val="none" w:sz="0" w:space="0" w:color="auto"/>
            <w:right w:val="none" w:sz="0" w:space="0" w:color="auto"/>
          </w:divBdr>
          <w:divsChild>
            <w:div w:id="1039168169">
              <w:marLeft w:val="0"/>
              <w:marRight w:val="0"/>
              <w:marTop w:val="0"/>
              <w:marBottom w:val="0"/>
              <w:divBdr>
                <w:top w:val="none" w:sz="0" w:space="0" w:color="auto"/>
                <w:left w:val="none" w:sz="0" w:space="0" w:color="auto"/>
                <w:bottom w:val="none" w:sz="0" w:space="0" w:color="auto"/>
                <w:right w:val="none" w:sz="0" w:space="0" w:color="auto"/>
              </w:divBdr>
            </w:div>
          </w:divsChild>
        </w:div>
        <w:div w:id="185952074">
          <w:marLeft w:val="0"/>
          <w:marRight w:val="0"/>
          <w:marTop w:val="0"/>
          <w:marBottom w:val="0"/>
          <w:divBdr>
            <w:top w:val="none" w:sz="0" w:space="0" w:color="auto"/>
            <w:left w:val="none" w:sz="0" w:space="0" w:color="auto"/>
            <w:bottom w:val="none" w:sz="0" w:space="0" w:color="auto"/>
            <w:right w:val="none" w:sz="0" w:space="0" w:color="auto"/>
          </w:divBdr>
          <w:divsChild>
            <w:div w:id="5150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314">
      <w:bodyDiv w:val="1"/>
      <w:marLeft w:val="0"/>
      <w:marRight w:val="0"/>
      <w:marTop w:val="0"/>
      <w:marBottom w:val="0"/>
      <w:divBdr>
        <w:top w:val="none" w:sz="0" w:space="0" w:color="auto"/>
        <w:left w:val="none" w:sz="0" w:space="0" w:color="auto"/>
        <w:bottom w:val="none" w:sz="0" w:space="0" w:color="auto"/>
        <w:right w:val="none" w:sz="0" w:space="0" w:color="auto"/>
      </w:divBdr>
      <w:divsChild>
        <w:div w:id="1758676631">
          <w:marLeft w:val="0"/>
          <w:marRight w:val="0"/>
          <w:marTop w:val="0"/>
          <w:marBottom w:val="0"/>
          <w:divBdr>
            <w:top w:val="none" w:sz="0" w:space="0" w:color="auto"/>
            <w:left w:val="none" w:sz="0" w:space="0" w:color="auto"/>
            <w:bottom w:val="none" w:sz="0" w:space="0" w:color="auto"/>
            <w:right w:val="none" w:sz="0" w:space="0" w:color="auto"/>
          </w:divBdr>
          <w:divsChild>
            <w:div w:id="851381088">
              <w:marLeft w:val="0"/>
              <w:marRight w:val="0"/>
              <w:marTop w:val="0"/>
              <w:marBottom w:val="0"/>
              <w:divBdr>
                <w:top w:val="none" w:sz="0" w:space="0" w:color="auto"/>
                <w:left w:val="none" w:sz="0" w:space="0" w:color="auto"/>
                <w:bottom w:val="none" w:sz="0" w:space="0" w:color="auto"/>
                <w:right w:val="none" w:sz="0" w:space="0" w:color="auto"/>
              </w:divBdr>
              <w:divsChild>
                <w:div w:id="4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2898">
      <w:bodyDiv w:val="1"/>
      <w:marLeft w:val="0"/>
      <w:marRight w:val="0"/>
      <w:marTop w:val="0"/>
      <w:marBottom w:val="0"/>
      <w:divBdr>
        <w:top w:val="none" w:sz="0" w:space="0" w:color="auto"/>
        <w:left w:val="none" w:sz="0" w:space="0" w:color="auto"/>
        <w:bottom w:val="none" w:sz="0" w:space="0" w:color="auto"/>
        <w:right w:val="none" w:sz="0" w:space="0" w:color="auto"/>
      </w:divBdr>
      <w:divsChild>
        <w:div w:id="527529747">
          <w:marLeft w:val="0"/>
          <w:marRight w:val="0"/>
          <w:marTop w:val="0"/>
          <w:marBottom w:val="0"/>
          <w:divBdr>
            <w:top w:val="none" w:sz="0" w:space="0" w:color="auto"/>
            <w:left w:val="none" w:sz="0" w:space="0" w:color="auto"/>
            <w:bottom w:val="none" w:sz="0" w:space="0" w:color="auto"/>
            <w:right w:val="none" w:sz="0" w:space="0" w:color="auto"/>
          </w:divBdr>
          <w:divsChild>
            <w:div w:id="1984121742">
              <w:marLeft w:val="0"/>
              <w:marRight w:val="0"/>
              <w:marTop w:val="0"/>
              <w:marBottom w:val="0"/>
              <w:divBdr>
                <w:top w:val="none" w:sz="0" w:space="0" w:color="auto"/>
                <w:left w:val="none" w:sz="0" w:space="0" w:color="auto"/>
                <w:bottom w:val="none" w:sz="0" w:space="0" w:color="auto"/>
                <w:right w:val="none" w:sz="0" w:space="0" w:color="auto"/>
              </w:divBdr>
              <w:divsChild>
                <w:div w:id="494731631">
                  <w:marLeft w:val="0"/>
                  <w:marRight w:val="0"/>
                  <w:marTop w:val="0"/>
                  <w:marBottom w:val="0"/>
                  <w:divBdr>
                    <w:top w:val="none" w:sz="0" w:space="0" w:color="auto"/>
                    <w:left w:val="none" w:sz="0" w:space="0" w:color="auto"/>
                    <w:bottom w:val="none" w:sz="0" w:space="0" w:color="auto"/>
                    <w:right w:val="none" w:sz="0" w:space="0" w:color="auto"/>
                  </w:divBdr>
                  <w:divsChild>
                    <w:div w:id="12237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3339">
      <w:bodyDiv w:val="1"/>
      <w:marLeft w:val="0"/>
      <w:marRight w:val="0"/>
      <w:marTop w:val="0"/>
      <w:marBottom w:val="0"/>
      <w:divBdr>
        <w:top w:val="none" w:sz="0" w:space="0" w:color="auto"/>
        <w:left w:val="none" w:sz="0" w:space="0" w:color="auto"/>
        <w:bottom w:val="none" w:sz="0" w:space="0" w:color="auto"/>
        <w:right w:val="none" w:sz="0" w:space="0" w:color="auto"/>
      </w:divBdr>
    </w:div>
    <w:div w:id="779450555">
      <w:bodyDiv w:val="1"/>
      <w:marLeft w:val="0"/>
      <w:marRight w:val="0"/>
      <w:marTop w:val="0"/>
      <w:marBottom w:val="0"/>
      <w:divBdr>
        <w:top w:val="none" w:sz="0" w:space="0" w:color="auto"/>
        <w:left w:val="none" w:sz="0" w:space="0" w:color="auto"/>
        <w:bottom w:val="none" w:sz="0" w:space="0" w:color="auto"/>
        <w:right w:val="none" w:sz="0" w:space="0" w:color="auto"/>
      </w:divBdr>
    </w:div>
    <w:div w:id="779952310">
      <w:bodyDiv w:val="1"/>
      <w:marLeft w:val="0"/>
      <w:marRight w:val="0"/>
      <w:marTop w:val="0"/>
      <w:marBottom w:val="0"/>
      <w:divBdr>
        <w:top w:val="none" w:sz="0" w:space="0" w:color="auto"/>
        <w:left w:val="none" w:sz="0" w:space="0" w:color="auto"/>
        <w:bottom w:val="none" w:sz="0" w:space="0" w:color="auto"/>
        <w:right w:val="none" w:sz="0" w:space="0" w:color="auto"/>
      </w:divBdr>
    </w:div>
    <w:div w:id="787814226">
      <w:bodyDiv w:val="1"/>
      <w:marLeft w:val="0"/>
      <w:marRight w:val="0"/>
      <w:marTop w:val="0"/>
      <w:marBottom w:val="0"/>
      <w:divBdr>
        <w:top w:val="none" w:sz="0" w:space="0" w:color="auto"/>
        <w:left w:val="none" w:sz="0" w:space="0" w:color="auto"/>
        <w:bottom w:val="none" w:sz="0" w:space="0" w:color="auto"/>
        <w:right w:val="none" w:sz="0" w:space="0" w:color="auto"/>
      </w:divBdr>
    </w:div>
    <w:div w:id="795180761">
      <w:bodyDiv w:val="1"/>
      <w:marLeft w:val="0"/>
      <w:marRight w:val="0"/>
      <w:marTop w:val="0"/>
      <w:marBottom w:val="0"/>
      <w:divBdr>
        <w:top w:val="none" w:sz="0" w:space="0" w:color="auto"/>
        <w:left w:val="none" w:sz="0" w:space="0" w:color="auto"/>
        <w:bottom w:val="none" w:sz="0" w:space="0" w:color="auto"/>
        <w:right w:val="none" w:sz="0" w:space="0" w:color="auto"/>
      </w:divBdr>
    </w:div>
    <w:div w:id="801771324">
      <w:bodyDiv w:val="1"/>
      <w:marLeft w:val="0"/>
      <w:marRight w:val="0"/>
      <w:marTop w:val="0"/>
      <w:marBottom w:val="0"/>
      <w:divBdr>
        <w:top w:val="none" w:sz="0" w:space="0" w:color="auto"/>
        <w:left w:val="none" w:sz="0" w:space="0" w:color="auto"/>
        <w:bottom w:val="none" w:sz="0" w:space="0" w:color="auto"/>
        <w:right w:val="none" w:sz="0" w:space="0" w:color="auto"/>
      </w:divBdr>
    </w:div>
    <w:div w:id="804858429">
      <w:bodyDiv w:val="1"/>
      <w:marLeft w:val="0"/>
      <w:marRight w:val="0"/>
      <w:marTop w:val="0"/>
      <w:marBottom w:val="0"/>
      <w:divBdr>
        <w:top w:val="none" w:sz="0" w:space="0" w:color="auto"/>
        <w:left w:val="none" w:sz="0" w:space="0" w:color="auto"/>
        <w:bottom w:val="none" w:sz="0" w:space="0" w:color="auto"/>
        <w:right w:val="none" w:sz="0" w:space="0" w:color="auto"/>
      </w:divBdr>
      <w:divsChild>
        <w:div w:id="1012416414">
          <w:marLeft w:val="0"/>
          <w:marRight w:val="0"/>
          <w:marTop w:val="0"/>
          <w:marBottom w:val="0"/>
          <w:divBdr>
            <w:top w:val="none" w:sz="0" w:space="0" w:color="auto"/>
            <w:left w:val="none" w:sz="0" w:space="0" w:color="auto"/>
            <w:bottom w:val="none" w:sz="0" w:space="0" w:color="auto"/>
            <w:right w:val="none" w:sz="0" w:space="0" w:color="auto"/>
          </w:divBdr>
          <w:divsChild>
            <w:div w:id="876431240">
              <w:marLeft w:val="0"/>
              <w:marRight w:val="0"/>
              <w:marTop w:val="0"/>
              <w:marBottom w:val="0"/>
              <w:divBdr>
                <w:top w:val="none" w:sz="0" w:space="0" w:color="auto"/>
                <w:left w:val="none" w:sz="0" w:space="0" w:color="auto"/>
                <w:bottom w:val="none" w:sz="0" w:space="0" w:color="auto"/>
                <w:right w:val="none" w:sz="0" w:space="0" w:color="auto"/>
              </w:divBdr>
              <w:divsChild>
                <w:div w:id="2083091082">
                  <w:marLeft w:val="0"/>
                  <w:marRight w:val="0"/>
                  <w:marTop w:val="0"/>
                  <w:marBottom w:val="0"/>
                  <w:divBdr>
                    <w:top w:val="none" w:sz="0" w:space="0" w:color="auto"/>
                    <w:left w:val="none" w:sz="0" w:space="0" w:color="auto"/>
                    <w:bottom w:val="none" w:sz="0" w:space="0" w:color="auto"/>
                    <w:right w:val="none" w:sz="0" w:space="0" w:color="auto"/>
                  </w:divBdr>
                  <w:divsChild>
                    <w:div w:id="1461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82223">
      <w:bodyDiv w:val="1"/>
      <w:marLeft w:val="0"/>
      <w:marRight w:val="0"/>
      <w:marTop w:val="0"/>
      <w:marBottom w:val="0"/>
      <w:divBdr>
        <w:top w:val="none" w:sz="0" w:space="0" w:color="auto"/>
        <w:left w:val="none" w:sz="0" w:space="0" w:color="auto"/>
        <w:bottom w:val="none" w:sz="0" w:space="0" w:color="auto"/>
        <w:right w:val="none" w:sz="0" w:space="0" w:color="auto"/>
      </w:divBdr>
      <w:divsChild>
        <w:div w:id="2120224104">
          <w:marLeft w:val="0"/>
          <w:marRight w:val="0"/>
          <w:marTop w:val="0"/>
          <w:marBottom w:val="0"/>
          <w:divBdr>
            <w:top w:val="none" w:sz="0" w:space="0" w:color="auto"/>
            <w:left w:val="none" w:sz="0" w:space="0" w:color="auto"/>
            <w:bottom w:val="none" w:sz="0" w:space="0" w:color="auto"/>
            <w:right w:val="none" w:sz="0" w:space="0" w:color="auto"/>
          </w:divBdr>
        </w:div>
        <w:div w:id="1762794450">
          <w:marLeft w:val="0"/>
          <w:marRight w:val="0"/>
          <w:marTop w:val="0"/>
          <w:marBottom w:val="0"/>
          <w:divBdr>
            <w:top w:val="none" w:sz="0" w:space="0" w:color="auto"/>
            <w:left w:val="none" w:sz="0" w:space="0" w:color="auto"/>
            <w:bottom w:val="none" w:sz="0" w:space="0" w:color="auto"/>
            <w:right w:val="none" w:sz="0" w:space="0" w:color="auto"/>
          </w:divBdr>
        </w:div>
        <w:div w:id="1216703393">
          <w:marLeft w:val="0"/>
          <w:marRight w:val="0"/>
          <w:marTop w:val="0"/>
          <w:marBottom w:val="0"/>
          <w:divBdr>
            <w:top w:val="none" w:sz="0" w:space="0" w:color="auto"/>
            <w:left w:val="none" w:sz="0" w:space="0" w:color="auto"/>
            <w:bottom w:val="none" w:sz="0" w:space="0" w:color="auto"/>
            <w:right w:val="none" w:sz="0" w:space="0" w:color="auto"/>
          </w:divBdr>
        </w:div>
      </w:divsChild>
    </w:div>
    <w:div w:id="816872264">
      <w:bodyDiv w:val="1"/>
      <w:marLeft w:val="0"/>
      <w:marRight w:val="0"/>
      <w:marTop w:val="0"/>
      <w:marBottom w:val="0"/>
      <w:divBdr>
        <w:top w:val="none" w:sz="0" w:space="0" w:color="auto"/>
        <w:left w:val="none" w:sz="0" w:space="0" w:color="auto"/>
        <w:bottom w:val="none" w:sz="0" w:space="0" w:color="auto"/>
        <w:right w:val="none" w:sz="0" w:space="0" w:color="auto"/>
      </w:divBdr>
    </w:div>
    <w:div w:id="851526322">
      <w:bodyDiv w:val="1"/>
      <w:marLeft w:val="0"/>
      <w:marRight w:val="0"/>
      <w:marTop w:val="0"/>
      <w:marBottom w:val="0"/>
      <w:divBdr>
        <w:top w:val="none" w:sz="0" w:space="0" w:color="auto"/>
        <w:left w:val="none" w:sz="0" w:space="0" w:color="auto"/>
        <w:bottom w:val="none" w:sz="0" w:space="0" w:color="auto"/>
        <w:right w:val="none" w:sz="0" w:space="0" w:color="auto"/>
      </w:divBdr>
    </w:div>
    <w:div w:id="862864753">
      <w:bodyDiv w:val="1"/>
      <w:marLeft w:val="0"/>
      <w:marRight w:val="0"/>
      <w:marTop w:val="0"/>
      <w:marBottom w:val="0"/>
      <w:divBdr>
        <w:top w:val="none" w:sz="0" w:space="0" w:color="auto"/>
        <w:left w:val="none" w:sz="0" w:space="0" w:color="auto"/>
        <w:bottom w:val="none" w:sz="0" w:space="0" w:color="auto"/>
        <w:right w:val="none" w:sz="0" w:space="0" w:color="auto"/>
      </w:divBdr>
    </w:div>
    <w:div w:id="871067769">
      <w:bodyDiv w:val="1"/>
      <w:marLeft w:val="0"/>
      <w:marRight w:val="0"/>
      <w:marTop w:val="0"/>
      <w:marBottom w:val="0"/>
      <w:divBdr>
        <w:top w:val="none" w:sz="0" w:space="0" w:color="auto"/>
        <w:left w:val="none" w:sz="0" w:space="0" w:color="auto"/>
        <w:bottom w:val="none" w:sz="0" w:space="0" w:color="auto"/>
        <w:right w:val="none" w:sz="0" w:space="0" w:color="auto"/>
      </w:divBdr>
      <w:divsChild>
        <w:div w:id="758403806">
          <w:marLeft w:val="0"/>
          <w:marRight w:val="0"/>
          <w:marTop w:val="0"/>
          <w:marBottom w:val="0"/>
          <w:divBdr>
            <w:top w:val="none" w:sz="0" w:space="0" w:color="auto"/>
            <w:left w:val="none" w:sz="0" w:space="0" w:color="auto"/>
            <w:bottom w:val="none" w:sz="0" w:space="0" w:color="auto"/>
            <w:right w:val="none" w:sz="0" w:space="0" w:color="auto"/>
          </w:divBdr>
          <w:divsChild>
            <w:div w:id="1604847447">
              <w:marLeft w:val="0"/>
              <w:marRight w:val="0"/>
              <w:marTop w:val="0"/>
              <w:marBottom w:val="0"/>
              <w:divBdr>
                <w:top w:val="none" w:sz="0" w:space="0" w:color="auto"/>
                <w:left w:val="none" w:sz="0" w:space="0" w:color="auto"/>
                <w:bottom w:val="none" w:sz="0" w:space="0" w:color="auto"/>
                <w:right w:val="none" w:sz="0" w:space="0" w:color="auto"/>
              </w:divBdr>
              <w:divsChild>
                <w:div w:id="801533358">
                  <w:marLeft w:val="0"/>
                  <w:marRight w:val="0"/>
                  <w:marTop w:val="0"/>
                  <w:marBottom w:val="0"/>
                  <w:divBdr>
                    <w:top w:val="none" w:sz="0" w:space="0" w:color="auto"/>
                    <w:left w:val="none" w:sz="0" w:space="0" w:color="auto"/>
                    <w:bottom w:val="none" w:sz="0" w:space="0" w:color="auto"/>
                    <w:right w:val="none" w:sz="0" w:space="0" w:color="auto"/>
                  </w:divBdr>
                  <w:divsChild>
                    <w:div w:id="20330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6165">
      <w:bodyDiv w:val="1"/>
      <w:marLeft w:val="0"/>
      <w:marRight w:val="0"/>
      <w:marTop w:val="0"/>
      <w:marBottom w:val="0"/>
      <w:divBdr>
        <w:top w:val="none" w:sz="0" w:space="0" w:color="auto"/>
        <w:left w:val="none" w:sz="0" w:space="0" w:color="auto"/>
        <w:bottom w:val="none" w:sz="0" w:space="0" w:color="auto"/>
        <w:right w:val="none" w:sz="0" w:space="0" w:color="auto"/>
      </w:divBdr>
    </w:div>
    <w:div w:id="897939255">
      <w:bodyDiv w:val="1"/>
      <w:marLeft w:val="0"/>
      <w:marRight w:val="0"/>
      <w:marTop w:val="0"/>
      <w:marBottom w:val="0"/>
      <w:divBdr>
        <w:top w:val="none" w:sz="0" w:space="0" w:color="auto"/>
        <w:left w:val="none" w:sz="0" w:space="0" w:color="auto"/>
        <w:bottom w:val="none" w:sz="0" w:space="0" w:color="auto"/>
        <w:right w:val="none" w:sz="0" w:space="0" w:color="auto"/>
      </w:divBdr>
    </w:div>
    <w:div w:id="909730904">
      <w:bodyDiv w:val="1"/>
      <w:marLeft w:val="0"/>
      <w:marRight w:val="0"/>
      <w:marTop w:val="0"/>
      <w:marBottom w:val="0"/>
      <w:divBdr>
        <w:top w:val="none" w:sz="0" w:space="0" w:color="auto"/>
        <w:left w:val="none" w:sz="0" w:space="0" w:color="auto"/>
        <w:bottom w:val="none" w:sz="0" w:space="0" w:color="auto"/>
        <w:right w:val="none" w:sz="0" w:space="0" w:color="auto"/>
      </w:divBdr>
    </w:div>
    <w:div w:id="910580050">
      <w:bodyDiv w:val="1"/>
      <w:marLeft w:val="0"/>
      <w:marRight w:val="0"/>
      <w:marTop w:val="0"/>
      <w:marBottom w:val="0"/>
      <w:divBdr>
        <w:top w:val="none" w:sz="0" w:space="0" w:color="auto"/>
        <w:left w:val="none" w:sz="0" w:space="0" w:color="auto"/>
        <w:bottom w:val="none" w:sz="0" w:space="0" w:color="auto"/>
        <w:right w:val="none" w:sz="0" w:space="0" w:color="auto"/>
      </w:divBdr>
    </w:div>
    <w:div w:id="914506955">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25043138">
      <w:bodyDiv w:val="1"/>
      <w:marLeft w:val="0"/>
      <w:marRight w:val="0"/>
      <w:marTop w:val="0"/>
      <w:marBottom w:val="0"/>
      <w:divBdr>
        <w:top w:val="none" w:sz="0" w:space="0" w:color="auto"/>
        <w:left w:val="none" w:sz="0" w:space="0" w:color="auto"/>
        <w:bottom w:val="none" w:sz="0" w:space="0" w:color="auto"/>
        <w:right w:val="none" w:sz="0" w:space="0" w:color="auto"/>
      </w:divBdr>
    </w:div>
    <w:div w:id="931936985">
      <w:bodyDiv w:val="1"/>
      <w:marLeft w:val="0"/>
      <w:marRight w:val="0"/>
      <w:marTop w:val="0"/>
      <w:marBottom w:val="0"/>
      <w:divBdr>
        <w:top w:val="none" w:sz="0" w:space="0" w:color="auto"/>
        <w:left w:val="none" w:sz="0" w:space="0" w:color="auto"/>
        <w:bottom w:val="none" w:sz="0" w:space="0" w:color="auto"/>
        <w:right w:val="none" w:sz="0" w:space="0" w:color="auto"/>
      </w:divBdr>
    </w:div>
    <w:div w:id="942686053">
      <w:bodyDiv w:val="1"/>
      <w:marLeft w:val="0"/>
      <w:marRight w:val="0"/>
      <w:marTop w:val="0"/>
      <w:marBottom w:val="0"/>
      <w:divBdr>
        <w:top w:val="none" w:sz="0" w:space="0" w:color="auto"/>
        <w:left w:val="none" w:sz="0" w:space="0" w:color="auto"/>
        <w:bottom w:val="none" w:sz="0" w:space="0" w:color="auto"/>
        <w:right w:val="none" w:sz="0" w:space="0" w:color="auto"/>
      </w:divBdr>
    </w:div>
    <w:div w:id="946734521">
      <w:bodyDiv w:val="1"/>
      <w:marLeft w:val="0"/>
      <w:marRight w:val="0"/>
      <w:marTop w:val="0"/>
      <w:marBottom w:val="0"/>
      <w:divBdr>
        <w:top w:val="none" w:sz="0" w:space="0" w:color="auto"/>
        <w:left w:val="none" w:sz="0" w:space="0" w:color="auto"/>
        <w:bottom w:val="none" w:sz="0" w:space="0" w:color="auto"/>
        <w:right w:val="none" w:sz="0" w:space="0" w:color="auto"/>
      </w:divBdr>
      <w:divsChild>
        <w:div w:id="691614251">
          <w:marLeft w:val="0"/>
          <w:marRight w:val="0"/>
          <w:marTop w:val="0"/>
          <w:marBottom w:val="0"/>
          <w:divBdr>
            <w:top w:val="none" w:sz="0" w:space="0" w:color="auto"/>
            <w:left w:val="none" w:sz="0" w:space="0" w:color="auto"/>
            <w:bottom w:val="none" w:sz="0" w:space="0" w:color="auto"/>
            <w:right w:val="none" w:sz="0" w:space="0" w:color="auto"/>
          </w:divBdr>
          <w:divsChild>
            <w:div w:id="1018311761">
              <w:marLeft w:val="0"/>
              <w:marRight w:val="0"/>
              <w:marTop w:val="0"/>
              <w:marBottom w:val="0"/>
              <w:divBdr>
                <w:top w:val="none" w:sz="0" w:space="0" w:color="auto"/>
                <w:left w:val="none" w:sz="0" w:space="0" w:color="auto"/>
                <w:bottom w:val="none" w:sz="0" w:space="0" w:color="auto"/>
                <w:right w:val="none" w:sz="0" w:space="0" w:color="auto"/>
              </w:divBdr>
              <w:divsChild>
                <w:div w:id="13622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7888">
      <w:bodyDiv w:val="1"/>
      <w:marLeft w:val="0"/>
      <w:marRight w:val="0"/>
      <w:marTop w:val="0"/>
      <w:marBottom w:val="0"/>
      <w:divBdr>
        <w:top w:val="none" w:sz="0" w:space="0" w:color="auto"/>
        <w:left w:val="none" w:sz="0" w:space="0" w:color="auto"/>
        <w:bottom w:val="none" w:sz="0" w:space="0" w:color="auto"/>
        <w:right w:val="none" w:sz="0" w:space="0" w:color="auto"/>
      </w:divBdr>
    </w:div>
    <w:div w:id="953560091">
      <w:bodyDiv w:val="1"/>
      <w:marLeft w:val="0"/>
      <w:marRight w:val="0"/>
      <w:marTop w:val="0"/>
      <w:marBottom w:val="0"/>
      <w:divBdr>
        <w:top w:val="none" w:sz="0" w:space="0" w:color="auto"/>
        <w:left w:val="none" w:sz="0" w:space="0" w:color="auto"/>
        <w:bottom w:val="none" w:sz="0" w:space="0" w:color="auto"/>
        <w:right w:val="none" w:sz="0" w:space="0" w:color="auto"/>
      </w:divBdr>
    </w:div>
    <w:div w:id="964240083">
      <w:bodyDiv w:val="1"/>
      <w:marLeft w:val="0"/>
      <w:marRight w:val="0"/>
      <w:marTop w:val="0"/>
      <w:marBottom w:val="0"/>
      <w:divBdr>
        <w:top w:val="none" w:sz="0" w:space="0" w:color="auto"/>
        <w:left w:val="none" w:sz="0" w:space="0" w:color="auto"/>
        <w:bottom w:val="none" w:sz="0" w:space="0" w:color="auto"/>
        <w:right w:val="none" w:sz="0" w:space="0" w:color="auto"/>
      </w:divBdr>
    </w:div>
    <w:div w:id="967474498">
      <w:bodyDiv w:val="1"/>
      <w:marLeft w:val="0"/>
      <w:marRight w:val="0"/>
      <w:marTop w:val="0"/>
      <w:marBottom w:val="0"/>
      <w:divBdr>
        <w:top w:val="none" w:sz="0" w:space="0" w:color="auto"/>
        <w:left w:val="none" w:sz="0" w:space="0" w:color="auto"/>
        <w:bottom w:val="none" w:sz="0" w:space="0" w:color="auto"/>
        <w:right w:val="none" w:sz="0" w:space="0" w:color="auto"/>
      </w:divBdr>
    </w:div>
    <w:div w:id="975528456">
      <w:bodyDiv w:val="1"/>
      <w:marLeft w:val="0"/>
      <w:marRight w:val="0"/>
      <w:marTop w:val="0"/>
      <w:marBottom w:val="0"/>
      <w:divBdr>
        <w:top w:val="none" w:sz="0" w:space="0" w:color="auto"/>
        <w:left w:val="none" w:sz="0" w:space="0" w:color="auto"/>
        <w:bottom w:val="none" w:sz="0" w:space="0" w:color="auto"/>
        <w:right w:val="none" w:sz="0" w:space="0" w:color="auto"/>
      </w:divBdr>
    </w:div>
    <w:div w:id="994454861">
      <w:bodyDiv w:val="1"/>
      <w:marLeft w:val="0"/>
      <w:marRight w:val="0"/>
      <w:marTop w:val="0"/>
      <w:marBottom w:val="0"/>
      <w:divBdr>
        <w:top w:val="none" w:sz="0" w:space="0" w:color="auto"/>
        <w:left w:val="none" w:sz="0" w:space="0" w:color="auto"/>
        <w:bottom w:val="none" w:sz="0" w:space="0" w:color="auto"/>
        <w:right w:val="none" w:sz="0" w:space="0" w:color="auto"/>
      </w:divBdr>
    </w:div>
    <w:div w:id="994455964">
      <w:bodyDiv w:val="1"/>
      <w:marLeft w:val="0"/>
      <w:marRight w:val="0"/>
      <w:marTop w:val="0"/>
      <w:marBottom w:val="0"/>
      <w:divBdr>
        <w:top w:val="none" w:sz="0" w:space="0" w:color="auto"/>
        <w:left w:val="none" w:sz="0" w:space="0" w:color="auto"/>
        <w:bottom w:val="none" w:sz="0" w:space="0" w:color="auto"/>
        <w:right w:val="none" w:sz="0" w:space="0" w:color="auto"/>
      </w:divBdr>
    </w:div>
    <w:div w:id="1007247463">
      <w:bodyDiv w:val="1"/>
      <w:marLeft w:val="0"/>
      <w:marRight w:val="0"/>
      <w:marTop w:val="0"/>
      <w:marBottom w:val="0"/>
      <w:divBdr>
        <w:top w:val="none" w:sz="0" w:space="0" w:color="auto"/>
        <w:left w:val="none" w:sz="0" w:space="0" w:color="auto"/>
        <w:bottom w:val="none" w:sz="0" w:space="0" w:color="auto"/>
        <w:right w:val="none" w:sz="0" w:space="0" w:color="auto"/>
      </w:divBdr>
    </w:div>
    <w:div w:id="1013066585">
      <w:bodyDiv w:val="1"/>
      <w:marLeft w:val="0"/>
      <w:marRight w:val="0"/>
      <w:marTop w:val="0"/>
      <w:marBottom w:val="0"/>
      <w:divBdr>
        <w:top w:val="none" w:sz="0" w:space="0" w:color="auto"/>
        <w:left w:val="none" w:sz="0" w:space="0" w:color="auto"/>
        <w:bottom w:val="none" w:sz="0" w:space="0" w:color="auto"/>
        <w:right w:val="none" w:sz="0" w:space="0" w:color="auto"/>
      </w:divBdr>
    </w:div>
    <w:div w:id="1015961607">
      <w:bodyDiv w:val="1"/>
      <w:marLeft w:val="0"/>
      <w:marRight w:val="0"/>
      <w:marTop w:val="0"/>
      <w:marBottom w:val="0"/>
      <w:divBdr>
        <w:top w:val="none" w:sz="0" w:space="0" w:color="auto"/>
        <w:left w:val="none" w:sz="0" w:space="0" w:color="auto"/>
        <w:bottom w:val="none" w:sz="0" w:space="0" w:color="auto"/>
        <w:right w:val="none" w:sz="0" w:space="0" w:color="auto"/>
      </w:divBdr>
    </w:div>
    <w:div w:id="1037506328">
      <w:bodyDiv w:val="1"/>
      <w:marLeft w:val="0"/>
      <w:marRight w:val="0"/>
      <w:marTop w:val="0"/>
      <w:marBottom w:val="0"/>
      <w:divBdr>
        <w:top w:val="none" w:sz="0" w:space="0" w:color="auto"/>
        <w:left w:val="none" w:sz="0" w:space="0" w:color="auto"/>
        <w:bottom w:val="none" w:sz="0" w:space="0" w:color="auto"/>
        <w:right w:val="none" w:sz="0" w:space="0" w:color="auto"/>
      </w:divBdr>
    </w:div>
    <w:div w:id="1050422183">
      <w:bodyDiv w:val="1"/>
      <w:marLeft w:val="0"/>
      <w:marRight w:val="0"/>
      <w:marTop w:val="0"/>
      <w:marBottom w:val="0"/>
      <w:divBdr>
        <w:top w:val="none" w:sz="0" w:space="0" w:color="auto"/>
        <w:left w:val="none" w:sz="0" w:space="0" w:color="auto"/>
        <w:bottom w:val="none" w:sz="0" w:space="0" w:color="auto"/>
        <w:right w:val="none" w:sz="0" w:space="0" w:color="auto"/>
      </w:divBdr>
    </w:div>
    <w:div w:id="1050807466">
      <w:bodyDiv w:val="1"/>
      <w:marLeft w:val="0"/>
      <w:marRight w:val="0"/>
      <w:marTop w:val="0"/>
      <w:marBottom w:val="0"/>
      <w:divBdr>
        <w:top w:val="none" w:sz="0" w:space="0" w:color="auto"/>
        <w:left w:val="none" w:sz="0" w:space="0" w:color="auto"/>
        <w:bottom w:val="none" w:sz="0" w:space="0" w:color="auto"/>
        <w:right w:val="none" w:sz="0" w:space="0" w:color="auto"/>
      </w:divBdr>
    </w:div>
    <w:div w:id="1052387275">
      <w:bodyDiv w:val="1"/>
      <w:marLeft w:val="0"/>
      <w:marRight w:val="0"/>
      <w:marTop w:val="0"/>
      <w:marBottom w:val="0"/>
      <w:divBdr>
        <w:top w:val="none" w:sz="0" w:space="0" w:color="auto"/>
        <w:left w:val="none" w:sz="0" w:space="0" w:color="auto"/>
        <w:bottom w:val="none" w:sz="0" w:space="0" w:color="auto"/>
        <w:right w:val="none" w:sz="0" w:space="0" w:color="auto"/>
      </w:divBdr>
    </w:div>
    <w:div w:id="1059288405">
      <w:bodyDiv w:val="1"/>
      <w:marLeft w:val="0"/>
      <w:marRight w:val="0"/>
      <w:marTop w:val="0"/>
      <w:marBottom w:val="0"/>
      <w:divBdr>
        <w:top w:val="none" w:sz="0" w:space="0" w:color="auto"/>
        <w:left w:val="none" w:sz="0" w:space="0" w:color="auto"/>
        <w:bottom w:val="none" w:sz="0" w:space="0" w:color="auto"/>
        <w:right w:val="none" w:sz="0" w:space="0" w:color="auto"/>
      </w:divBdr>
    </w:div>
    <w:div w:id="1060441365">
      <w:bodyDiv w:val="1"/>
      <w:marLeft w:val="0"/>
      <w:marRight w:val="0"/>
      <w:marTop w:val="0"/>
      <w:marBottom w:val="0"/>
      <w:divBdr>
        <w:top w:val="none" w:sz="0" w:space="0" w:color="auto"/>
        <w:left w:val="none" w:sz="0" w:space="0" w:color="auto"/>
        <w:bottom w:val="none" w:sz="0" w:space="0" w:color="auto"/>
        <w:right w:val="none" w:sz="0" w:space="0" w:color="auto"/>
      </w:divBdr>
    </w:div>
    <w:div w:id="1067189756">
      <w:bodyDiv w:val="1"/>
      <w:marLeft w:val="0"/>
      <w:marRight w:val="0"/>
      <w:marTop w:val="0"/>
      <w:marBottom w:val="0"/>
      <w:divBdr>
        <w:top w:val="none" w:sz="0" w:space="0" w:color="auto"/>
        <w:left w:val="none" w:sz="0" w:space="0" w:color="auto"/>
        <w:bottom w:val="none" w:sz="0" w:space="0" w:color="auto"/>
        <w:right w:val="none" w:sz="0" w:space="0" w:color="auto"/>
      </w:divBdr>
    </w:div>
    <w:div w:id="1075130186">
      <w:bodyDiv w:val="1"/>
      <w:marLeft w:val="0"/>
      <w:marRight w:val="0"/>
      <w:marTop w:val="0"/>
      <w:marBottom w:val="0"/>
      <w:divBdr>
        <w:top w:val="none" w:sz="0" w:space="0" w:color="auto"/>
        <w:left w:val="none" w:sz="0" w:space="0" w:color="auto"/>
        <w:bottom w:val="none" w:sz="0" w:space="0" w:color="auto"/>
        <w:right w:val="none" w:sz="0" w:space="0" w:color="auto"/>
      </w:divBdr>
    </w:div>
    <w:div w:id="1085758872">
      <w:bodyDiv w:val="1"/>
      <w:marLeft w:val="0"/>
      <w:marRight w:val="0"/>
      <w:marTop w:val="0"/>
      <w:marBottom w:val="0"/>
      <w:divBdr>
        <w:top w:val="none" w:sz="0" w:space="0" w:color="auto"/>
        <w:left w:val="none" w:sz="0" w:space="0" w:color="auto"/>
        <w:bottom w:val="none" w:sz="0" w:space="0" w:color="auto"/>
        <w:right w:val="none" w:sz="0" w:space="0" w:color="auto"/>
      </w:divBdr>
    </w:div>
    <w:div w:id="1092315637">
      <w:bodyDiv w:val="1"/>
      <w:marLeft w:val="0"/>
      <w:marRight w:val="0"/>
      <w:marTop w:val="0"/>
      <w:marBottom w:val="0"/>
      <w:divBdr>
        <w:top w:val="none" w:sz="0" w:space="0" w:color="auto"/>
        <w:left w:val="none" w:sz="0" w:space="0" w:color="auto"/>
        <w:bottom w:val="none" w:sz="0" w:space="0" w:color="auto"/>
        <w:right w:val="none" w:sz="0" w:space="0" w:color="auto"/>
      </w:divBdr>
    </w:div>
    <w:div w:id="1103963342">
      <w:bodyDiv w:val="1"/>
      <w:marLeft w:val="0"/>
      <w:marRight w:val="0"/>
      <w:marTop w:val="0"/>
      <w:marBottom w:val="0"/>
      <w:divBdr>
        <w:top w:val="none" w:sz="0" w:space="0" w:color="auto"/>
        <w:left w:val="none" w:sz="0" w:space="0" w:color="auto"/>
        <w:bottom w:val="none" w:sz="0" w:space="0" w:color="auto"/>
        <w:right w:val="none" w:sz="0" w:space="0" w:color="auto"/>
      </w:divBdr>
    </w:div>
    <w:div w:id="1111784259">
      <w:bodyDiv w:val="1"/>
      <w:marLeft w:val="0"/>
      <w:marRight w:val="0"/>
      <w:marTop w:val="0"/>
      <w:marBottom w:val="0"/>
      <w:divBdr>
        <w:top w:val="none" w:sz="0" w:space="0" w:color="auto"/>
        <w:left w:val="none" w:sz="0" w:space="0" w:color="auto"/>
        <w:bottom w:val="none" w:sz="0" w:space="0" w:color="auto"/>
        <w:right w:val="none" w:sz="0" w:space="0" w:color="auto"/>
      </w:divBdr>
    </w:div>
    <w:div w:id="1116801015">
      <w:bodyDiv w:val="1"/>
      <w:marLeft w:val="0"/>
      <w:marRight w:val="0"/>
      <w:marTop w:val="0"/>
      <w:marBottom w:val="0"/>
      <w:divBdr>
        <w:top w:val="none" w:sz="0" w:space="0" w:color="auto"/>
        <w:left w:val="none" w:sz="0" w:space="0" w:color="auto"/>
        <w:bottom w:val="none" w:sz="0" w:space="0" w:color="auto"/>
        <w:right w:val="none" w:sz="0" w:space="0" w:color="auto"/>
      </w:divBdr>
    </w:div>
    <w:div w:id="1122336687">
      <w:bodyDiv w:val="1"/>
      <w:marLeft w:val="0"/>
      <w:marRight w:val="0"/>
      <w:marTop w:val="0"/>
      <w:marBottom w:val="0"/>
      <w:divBdr>
        <w:top w:val="none" w:sz="0" w:space="0" w:color="auto"/>
        <w:left w:val="none" w:sz="0" w:space="0" w:color="auto"/>
        <w:bottom w:val="none" w:sz="0" w:space="0" w:color="auto"/>
        <w:right w:val="none" w:sz="0" w:space="0" w:color="auto"/>
      </w:divBdr>
    </w:div>
    <w:div w:id="1128356237">
      <w:bodyDiv w:val="1"/>
      <w:marLeft w:val="0"/>
      <w:marRight w:val="0"/>
      <w:marTop w:val="0"/>
      <w:marBottom w:val="0"/>
      <w:divBdr>
        <w:top w:val="none" w:sz="0" w:space="0" w:color="auto"/>
        <w:left w:val="none" w:sz="0" w:space="0" w:color="auto"/>
        <w:bottom w:val="none" w:sz="0" w:space="0" w:color="auto"/>
        <w:right w:val="none" w:sz="0" w:space="0" w:color="auto"/>
      </w:divBdr>
    </w:div>
    <w:div w:id="1131174832">
      <w:bodyDiv w:val="1"/>
      <w:marLeft w:val="0"/>
      <w:marRight w:val="0"/>
      <w:marTop w:val="0"/>
      <w:marBottom w:val="0"/>
      <w:divBdr>
        <w:top w:val="none" w:sz="0" w:space="0" w:color="auto"/>
        <w:left w:val="none" w:sz="0" w:space="0" w:color="auto"/>
        <w:bottom w:val="none" w:sz="0" w:space="0" w:color="auto"/>
        <w:right w:val="none" w:sz="0" w:space="0" w:color="auto"/>
      </w:divBdr>
    </w:div>
    <w:div w:id="1132866179">
      <w:bodyDiv w:val="1"/>
      <w:marLeft w:val="0"/>
      <w:marRight w:val="0"/>
      <w:marTop w:val="0"/>
      <w:marBottom w:val="0"/>
      <w:divBdr>
        <w:top w:val="none" w:sz="0" w:space="0" w:color="auto"/>
        <w:left w:val="none" w:sz="0" w:space="0" w:color="auto"/>
        <w:bottom w:val="none" w:sz="0" w:space="0" w:color="auto"/>
        <w:right w:val="none" w:sz="0" w:space="0" w:color="auto"/>
      </w:divBdr>
    </w:div>
    <w:div w:id="1135874309">
      <w:bodyDiv w:val="1"/>
      <w:marLeft w:val="0"/>
      <w:marRight w:val="0"/>
      <w:marTop w:val="0"/>
      <w:marBottom w:val="0"/>
      <w:divBdr>
        <w:top w:val="none" w:sz="0" w:space="0" w:color="auto"/>
        <w:left w:val="none" w:sz="0" w:space="0" w:color="auto"/>
        <w:bottom w:val="none" w:sz="0" w:space="0" w:color="auto"/>
        <w:right w:val="none" w:sz="0" w:space="0" w:color="auto"/>
      </w:divBdr>
      <w:divsChild>
        <w:div w:id="1261066885">
          <w:marLeft w:val="0"/>
          <w:marRight w:val="0"/>
          <w:marTop w:val="0"/>
          <w:marBottom w:val="0"/>
          <w:divBdr>
            <w:top w:val="none" w:sz="0" w:space="0" w:color="auto"/>
            <w:left w:val="none" w:sz="0" w:space="0" w:color="auto"/>
            <w:bottom w:val="none" w:sz="0" w:space="0" w:color="auto"/>
            <w:right w:val="none" w:sz="0" w:space="0" w:color="auto"/>
          </w:divBdr>
          <w:divsChild>
            <w:div w:id="511646871">
              <w:marLeft w:val="0"/>
              <w:marRight w:val="0"/>
              <w:marTop w:val="0"/>
              <w:marBottom w:val="0"/>
              <w:divBdr>
                <w:top w:val="none" w:sz="0" w:space="0" w:color="auto"/>
                <w:left w:val="none" w:sz="0" w:space="0" w:color="auto"/>
                <w:bottom w:val="none" w:sz="0" w:space="0" w:color="auto"/>
                <w:right w:val="none" w:sz="0" w:space="0" w:color="auto"/>
              </w:divBdr>
              <w:divsChild>
                <w:div w:id="898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2389">
      <w:bodyDiv w:val="1"/>
      <w:marLeft w:val="0"/>
      <w:marRight w:val="0"/>
      <w:marTop w:val="0"/>
      <w:marBottom w:val="0"/>
      <w:divBdr>
        <w:top w:val="none" w:sz="0" w:space="0" w:color="auto"/>
        <w:left w:val="none" w:sz="0" w:space="0" w:color="auto"/>
        <w:bottom w:val="none" w:sz="0" w:space="0" w:color="auto"/>
        <w:right w:val="none" w:sz="0" w:space="0" w:color="auto"/>
      </w:divBdr>
      <w:divsChild>
        <w:div w:id="452553424">
          <w:marLeft w:val="0"/>
          <w:marRight w:val="0"/>
          <w:marTop w:val="0"/>
          <w:marBottom w:val="0"/>
          <w:divBdr>
            <w:top w:val="none" w:sz="0" w:space="0" w:color="auto"/>
            <w:left w:val="none" w:sz="0" w:space="0" w:color="auto"/>
            <w:bottom w:val="none" w:sz="0" w:space="0" w:color="auto"/>
            <w:right w:val="none" w:sz="0" w:space="0" w:color="auto"/>
          </w:divBdr>
          <w:divsChild>
            <w:div w:id="728501620">
              <w:marLeft w:val="0"/>
              <w:marRight w:val="0"/>
              <w:marTop w:val="0"/>
              <w:marBottom w:val="0"/>
              <w:divBdr>
                <w:top w:val="none" w:sz="0" w:space="0" w:color="auto"/>
                <w:left w:val="none" w:sz="0" w:space="0" w:color="auto"/>
                <w:bottom w:val="none" w:sz="0" w:space="0" w:color="auto"/>
                <w:right w:val="none" w:sz="0" w:space="0" w:color="auto"/>
              </w:divBdr>
              <w:divsChild>
                <w:div w:id="915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2642">
      <w:bodyDiv w:val="1"/>
      <w:marLeft w:val="0"/>
      <w:marRight w:val="0"/>
      <w:marTop w:val="0"/>
      <w:marBottom w:val="0"/>
      <w:divBdr>
        <w:top w:val="none" w:sz="0" w:space="0" w:color="auto"/>
        <w:left w:val="none" w:sz="0" w:space="0" w:color="auto"/>
        <w:bottom w:val="none" w:sz="0" w:space="0" w:color="auto"/>
        <w:right w:val="none" w:sz="0" w:space="0" w:color="auto"/>
      </w:divBdr>
    </w:div>
    <w:div w:id="1157381404">
      <w:bodyDiv w:val="1"/>
      <w:marLeft w:val="0"/>
      <w:marRight w:val="0"/>
      <w:marTop w:val="0"/>
      <w:marBottom w:val="0"/>
      <w:divBdr>
        <w:top w:val="none" w:sz="0" w:space="0" w:color="auto"/>
        <w:left w:val="none" w:sz="0" w:space="0" w:color="auto"/>
        <w:bottom w:val="none" w:sz="0" w:space="0" w:color="auto"/>
        <w:right w:val="none" w:sz="0" w:space="0" w:color="auto"/>
      </w:divBdr>
    </w:div>
    <w:div w:id="1158812078">
      <w:bodyDiv w:val="1"/>
      <w:marLeft w:val="0"/>
      <w:marRight w:val="0"/>
      <w:marTop w:val="0"/>
      <w:marBottom w:val="0"/>
      <w:divBdr>
        <w:top w:val="none" w:sz="0" w:space="0" w:color="auto"/>
        <w:left w:val="none" w:sz="0" w:space="0" w:color="auto"/>
        <w:bottom w:val="none" w:sz="0" w:space="0" w:color="auto"/>
        <w:right w:val="none" w:sz="0" w:space="0" w:color="auto"/>
      </w:divBdr>
    </w:div>
    <w:div w:id="1159082268">
      <w:bodyDiv w:val="1"/>
      <w:marLeft w:val="0"/>
      <w:marRight w:val="0"/>
      <w:marTop w:val="0"/>
      <w:marBottom w:val="0"/>
      <w:divBdr>
        <w:top w:val="none" w:sz="0" w:space="0" w:color="auto"/>
        <w:left w:val="none" w:sz="0" w:space="0" w:color="auto"/>
        <w:bottom w:val="none" w:sz="0" w:space="0" w:color="auto"/>
        <w:right w:val="none" w:sz="0" w:space="0" w:color="auto"/>
      </w:divBdr>
    </w:div>
    <w:div w:id="1159424228">
      <w:bodyDiv w:val="1"/>
      <w:marLeft w:val="0"/>
      <w:marRight w:val="0"/>
      <w:marTop w:val="0"/>
      <w:marBottom w:val="0"/>
      <w:divBdr>
        <w:top w:val="none" w:sz="0" w:space="0" w:color="auto"/>
        <w:left w:val="none" w:sz="0" w:space="0" w:color="auto"/>
        <w:bottom w:val="none" w:sz="0" w:space="0" w:color="auto"/>
        <w:right w:val="none" w:sz="0" w:space="0" w:color="auto"/>
      </w:divBdr>
    </w:div>
    <w:div w:id="1165049769">
      <w:bodyDiv w:val="1"/>
      <w:marLeft w:val="0"/>
      <w:marRight w:val="0"/>
      <w:marTop w:val="0"/>
      <w:marBottom w:val="0"/>
      <w:divBdr>
        <w:top w:val="none" w:sz="0" w:space="0" w:color="auto"/>
        <w:left w:val="none" w:sz="0" w:space="0" w:color="auto"/>
        <w:bottom w:val="none" w:sz="0" w:space="0" w:color="auto"/>
        <w:right w:val="none" w:sz="0" w:space="0" w:color="auto"/>
      </w:divBdr>
    </w:div>
    <w:div w:id="1167789913">
      <w:bodyDiv w:val="1"/>
      <w:marLeft w:val="0"/>
      <w:marRight w:val="0"/>
      <w:marTop w:val="0"/>
      <w:marBottom w:val="0"/>
      <w:divBdr>
        <w:top w:val="none" w:sz="0" w:space="0" w:color="auto"/>
        <w:left w:val="none" w:sz="0" w:space="0" w:color="auto"/>
        <w:bottom w:val="none" w:sz="0" w:space="0" w:color="auto"/>
        <w:right w:val="none" w:sz="0" w:space="0" w:color="auto"/>
      </w:divBdr>
    </w:div>
    <w:div w:id="1180510151">
      <w:bodyDiv w:val="1"/>
      <w:marLeft w:val="0"/>
      <w:marRight w:val="0"/>
      <w:marTop w:val="0"/>
      <w:marBottom w:val="0"/>
      <w:divBdr>
        <w:top w:val="none" w:sz="0" w:space="0" w:color="auto"/>
        <w:left w:val="none" w:sz="0" w:space="0" w:color="auto"/>
        <w:bottom w:val="none" w:sz="0" w:space="0" w:color="auto"/>
        <w:right w:val="none" w:sz="0" w:space="0" w:color="auto"/>
      </w:divBdr>
    </w:div>
    <w:div w:id="1183325809">
      <w:bodyDiv w:val="1"/>
      <w:marLeft w:val="0"/>
      <w:marRight w:val="0"/>
      <w:marTop w:val="0"/>
      <w:marBottom w:val="0"/>
      <w:divBdr>
        <w:top w:val="none" w:sz="0" w:space="0" w:color="auto"/>
        <w:left w:val="none" w:sz="0" w:space="0" w:color="auto"/>
        <w:bottom w:val="none" w:sz="0" w:space="0" w:color="auto"/>
        <w:right w:val="none" w:sz="0" w:space="0" w:color="auto"/>
      </w:divBdr>
      <w:divsChild>
        <w:div w:id="924607450">
          <w:marLeft w:val="0"/>
          <w:marRight w:val="0"/>
          <w:marTop w:val="0"/>
          <w:marBottom w:val="0"/>
          <w:divBdr>
            <w:top w:val="none" w:sz="0" w:space="0" w:color="auto"/>
            <w:left w:val="none" w:sz="0" w:space="0" w:color="auto"/>
            <w:bottom w:val="none" w:sz="0" w:space="0" w:color="auto"/>
            <w:right w:val="none" w:sz="0" w:space="0" w:color="auto"/>
          </w:divBdr>
        </w:div>
      </w:divsChild>
    </w:div>
    <w:div w:id="1191605723">
      <w:bodyDiv w:val="1"/>
      <w:marLeft w:val="0"/>
      <w:marRight w:val="0"/>
      <w:marTop w:val="0"/>
      <w:marBottom w:val="0"/>
      <w:divBdr>
        <w:top w:val="none" w:sz="0" w:space="0" w:color="auto"/>
        <w:left w:val="none" w:sz="0" w:space="0" w:color="auto"/>
        <w:bottom w:val="none" w:sz="0" w:space="0" w:color="auto"/>
        <w:right w:val="none" w:sz="0" w:space="0" w:color="auto"/>
      </w:divBdr>
    </w:div>
    <w:div w:id="1209146632">
      <w:bodyDiv w:val="1"/>
      <w:marLeft w:val="0"/>
      <w:marRight w:val="0"/>
      <w:marTop w:val="0"/>
      <w:marBottom w:val="0"/>
      <w:divBdr>
        <w:top w:val="none" w:sz="0" w:space="0" w:color="auto"/>
        <w:left w:val="none" w:sz="0" w:space="0" w:color="auto"/>
        <w:bottom w:val="none" w:sz="0" w:space="0" w:color="auto"/>
        <w:right w:val="none" w:sz="0" w:space="0" w:color="auto"/>
      </w:divBdr>
    </w:div>
    <w:div w:id="1210410752">
      <w:bodyDiv w:val="1"/>
      <w:marLeft w:val="0"/>
      <w:marRight w:val="0"/>
      <w:marTop w:val="0"/>
      <w:marBottom w:val="0"/>
      <w:divBdr>
        <w:top w:val="none" w:sz="0" w:space="0" w:color="auto"/>
        <w:left w:val="none" w:sz="0" w:space="0" w:color="auto"/>
        <w:bottom w:val="none" w:sz="0" w:space="0" w:color="auto"/>
        <w:right w:val="none" w:sz="0" w:space="0" w:color="auto"/>
      </w:divBdr>
    </w:div>
    <w:div w:id="1211307162">
      <w:bodyDiv w:val="1"/>
      <w:marLeft w:val="0"/>
      <w:marRight w:val="0"/>
      <w:marTop w:val="0"/>
      <w:marBottom w:val="0"/>
      <w:divBdr>
        <w:top w:val="none" w:sz="0" w:space="0" w:color="auto"/>
        <w:left w:val="none" w:sz="0" w:space="0" w:color="auto"/>
        <w:bottom w:val="none" w:sz="0" w:space="0" w:color="auto"/>
        <w:right w:val="none" w:sz="0" w:space="0" w:color="auto"/>
      </w:divBdr>
    </w:div>
    <w:div w:id="1215430972">
      <w:bodyDiv w:val="1"/>
      <w:marLeft w:val="0"/>
      <w:marRight w:val="0"/>
      <w:marTop w:val="0"/>
      <w:marBottom w:val="0"/>
      <w:divBdr>
        <w:top w:val="none" w:sz="0" w:space="0" w:color="auto"/>
        <w:left w:val="none" w:sz="0" w:space="0" w:color="auto"/>
        <w:bottom w:val="none" w:sz="0" w:space="0" w:color="auto"/>
        <w:right w:val="none" w:sz="0" w:space="0" w:color="auto"/>
      </w:divBdr>
    </w:div>
    <w:div w:id="1225021236">
      <w:bodyDiv w:val="1"/>
      <w:marLeft w:val="0"/>
      <w:marRight w:val="0"/>
      <w:marTop w:val="0"/>
      <w:marBottom w:val="0"/>
      <w:divBdr>
        <w:top w:val="none" w:sz="0" w:space="0" w:color="auto"/>
        <w:left w:val="none" w:sz="0" w:space="0" w:color="auto"/>
        <w:bottom w:val="none" w:sz="0" w:space="0" w:color="auto"/>
        <w:right w:val="none" w:sz="0" w:space="0" w:color="auto"/>
      </w:divBdr>
    </w:div>
    <w:div w:id="1232933977">
      <w:bodyDiv w:val="1"/>
      <w:marLeft w:val="0"/>
      <w:marRight w:val="0"/>
      <w:marTop w:val="0"/>
      <w:marBottom w:val="0"/>
      <w:divBdr>
        <w:top w:val="none" w:sz="0" w:space="0" w:color="auto"/>
        <w:left w:val="none" w:sz="0" w:space="0" w:color="auto"/>
        <w:bottom w:val="none" w:sz="0" w:space="0" w:color="auto"/>
        <w:right w:val="none" w:sz="0" w:space="0" w:color="auto"/>
      </w:divBdr>
    </w:div>
    <w:div w:id="1235896412">
      <w:bodyDiv w:val="1"/>
      <w:marLeft w:val="0"/>
      <w:marRight w:val="0"/>
      <w:marTop w:val="0"/>
      <w:marBottom w:val="0"/>
      <w:divBdr>
        <w:top w:val="none" w:sz="0" w:space="0" w:color="auto"/>
        <w:left w:val="none" w:sz="0" w:space="0" w:color="auto"/>
        <w:bottom w:val="none" w:sz="0" w:space="0" w:color="auto"/>
        <w:right w:val="none" w:sz="0" w:space="0" w:color="auto"/>
      </w:divBdr>
    </w:div>
    <w:div w:id="1248920819">
      <w:bodyDiv w:val="1"/>
      <w:marLeft w:val="0"/>
      <w:marRight w:val="0"/>
      <w:marTop w:val="0"/>
      <w:marBottom w:val="0"/>
      <w:divBdr>
        <w:top w:val="none" w:sz="0" w:space="0" w:color="auto"/>
        <w:left w:val="none" w:sz="0" w:space="0" w:color="auto"/>
        <w:bottom w:val="none" w:sz="0" w:space="0" w:color="auto"/>
        <w:right w:val="none" w:sz="0" w:space="0" w:color="auto"/>
      </w:divBdr>
    </w:div>
    <w:div w:id="1250655304">
      <w:bodyDiv w:val="1"/>
      <w:marLeft w:val="0"/>
      <w:marRight w:val="0"/>
      <w:marTop w:val="0"/>
      <w:marBottom w:val="0"/>
      <w:divBdr>
        <w:top w:val="none" w:sz="0" w:space="0" w:color="auto"/>
        <w:left w:val="none" w:sz="0" w:space="0" w:color="auto"/>
        <w:bottom w:val="none" w:sz="0" w:space="0" w:color="auto"/>
        <w:right w:val="none" w:sz="0" w:space="0" w:color="auto"/>
      </w:divBdr>
    </w:div>
    <w:div w:id="1251624516">
      <w:bodyDiv w:val="1"/>
      <w:marLeft w:val="0"/>
      <w:marRight w:val="0"/>
      <w:marTop w:val="0"/>
      <w:marBottom w:val="0"/>
      <w:divBdr>
        <w:top w:val="none" w:sz="0" w:space="0" w:color="auto"/>
        <w:left w:val="none" w:sz="0" w:space="0" w:color="auto"/>
        <w:bottom w:val="none" w:sz="0" w:space="0" w:color="auto"/>
        <w:right w:val="none" w:sz="0" w:space="0" w:color="auto"/>
      </w:divBdr>
    </w:div>
    <w:div w:id="1255164643">
      <w:bodyDiv w:val="1"/>
      <w:marLeft w:val="0"/>
      <w:marRight w:val="0"/>
      <w:marTop w:val="0"/>
      <w:marBottom w:val="0"/>
      <w:divBdr>
        <w:top w:val="none" w:sz="0" w:space="0" w:color="auto"/>
        <w:left w:val="none" w:sz="0" w:space="0" w:color="auto"/>
        <w:bottom w:val="none" w:sz="0" w:space="0" w:color="auto"/>
        <w:right w:val="none" w:sz="0" w:space="0" w:color="auto"/>
      </w:divBdr>
      <w:divsChild>
        <w:div w:id="1805852022">
          <w:marLeft w:val="0"/>
          <w:marRight w:val="0"/>
          <w:marTop w:val="0"/>
          <w:marBottom w:val="0"/>
          <w:divBdr>
            <w:top w:val="none" w:sz="0" w:space="0" w:color="auto"/>
            <w:left w:val="none" w:sz="0" w:space="0" w:color="auto"/>
            <w:bottom w:val="none" w:sz="0" w:space="0" w:color="auto"/>
            <w:right w:val="none" w:sz="0" w:space="0" w:color="auto"/>
          </w:divBdr>
          <w:divsChild>
            <w:div w:id="320541600">
              <w:marLeft w:val="0"/>
              <w:marRight w:val="0"/>
              <w:marTop w:val="0"/>
              <w:marBottom w:val="0"/>
              <w:divBdr>
                <w:top w:val="none" w:sz="0" w:space="0" w:color="auto"/>
                <w:left w:val="none" w:sz="0" w:space="0" w:color="auto"/>
                <w:bottom w:val="none" w:sz="0" w:space="0" w:color="auto"/>
                <w:right w:val="none" w:sz="0" w:space="0" w:color="auto"/>
              </w:divBdr>
              <w:divsChild>
                <w:div w:id="2105685343">
                  <w:marLeft w:val="0"/>
                  <w:marRight w:val="0"/>
                  <w:marTop w:val="0"/>
                  <w:marBottom w:val="0"/>
                  <w:divBdr>
                    <w:top w:val="none" w:sz="0" w:space="0" w:color="auto"/>
                    <w:left w:val="none" w:sz="0" w:space="0" w:color="auto"/>
                    <w:bottom w:val="none" w:sz="0" w:space="0" w:color="auto"/>
                    <w:right w:val="none" w:sz="0" w:space="0" w:color="auto"/>
                  </w:divBdr>
                  <w:divsChild>
                    <w:div w:id="6129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21186">
      <w:bodyDiv w:val="1"/>
      <w:marLeft w:val="0"/>
      <w:marRight w:val="0"/>
      <w:marTop w:val="0"/>
      <w:marBottom w:val="0"/>
      <w:divBdr>
        <w:top w:val="none" w:sz="0" w:space="0" w:color="auto"/>
        <w:left w:val="none" w:sz="0" w:space="0" w:color="auto"/>
        <w:bottom w:val="none" w:sz="0" w:space="0" w:color="auto"/>
        <w:right w:val="none" w:sz="0" w:space="0" w:color="auto"/>
      </w:divBdr>
    </w:div>
    <w:div w:id="1261835331">
      <w:bodyDiv w:val="1"/>
      <w:marLeft w:val="0"/>
      <w:marRight w:val="0"/>
      <w:marTop w:val="0"/>
      <w:marBottom w:val="0"/>
      <w:divBdr>
        <w:top w:val="none" w:sz="0" w:space="0" w:color="auto"/>
        <w:left w:val="none" w:sz="0" w:space="0" w:color="auto"/>
        <w:bottom w:val="none" w:sz="0" w:space="0" w:color="auto"/>
        <w:right w:val="none" w:sz="0" w:space="0" w:color="auto"/>
      </w:divBdr>
    </w:div>
    <w:div w:id="1263143799">
      <w:bodyDiv w:val="1"/>
      <w:marLeft w:val="0"/>
      <w:marRight w:val="0"/>
      <w:marTop w:val="0"/>
      <w:marBottom w:val="0"/>
      <w:divBdr>
        <w:top w:val="none" w:sz="0" w:space="0" w:color="auto"/>
        <w:left w:val="none" w:sz="0" w:space="0" w:color="auto"/>
        <w:bottom w:val="none" w:sz="0" w:space="0" w:color="auto"/>
        <w:right w:val="none" w:sz="0" w:space="0" w:color="auto"/>
      </w:divBdr>
      <w:divsChild>
        <w:div w:id="1702512100">
          <w:marLeft w:val="0"/>
          <w:marRight w:val="0"/>
          <w:marTop w:val="0"/>
          <w:marBottom w:val="0"/>
          <w:divBdr>
            <w:top w:val="none" w:sz="0" w:space="0" w:color="auto"/>
            <w:left w:val="none" w:sz="0" w:space="0" w:color="auto"/>
            <w:bottom w:val="none" w:sz="0" w:space="0" w:color="auto"/>
            <w:right w:val="none" w:sz="0" w:space="0" w:color="auto"/>
          </w:divBdr>
          <w:divsChild>
            <w:div w:id="272397266">
              <w:marLeft w:val="0"/>
              <w:marRight w:val="0"/>
              <w:marTop w:val="0"/>
              <w:marBottom w:val="0"/>
              <w:divBdr>
                <w:top w:val="none" w:sz="0" w:space="0" w:color="auto"/>
                <w:left w:val="none" w:sz="0" w:space="0" w:color="auto"/>
                <w:bottom w:val="none" w:sz="0" w:space="0" w:color="auto"/>
                <w:right w:val="none" w:sz="0" w:space="0" w:color="auto"/>
              </w:divBdr>
              <w:divsChild>
                <w:div w:id="17348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3589">
      <w:bodyDiv w:val="1"/>
      <w:marLeft w:val="0"/>
      <w:marRight w:val="0"/>
      <w:marTop w:val="0"/>
      <w:marBottom w:val="0"/>
      <w:divBdr>
        <w:top w:val="none" w:sz="0" w:space="0" w:color="auto"/>
        <w:left w:val="none" w:sz="0" w:space="0" w:color="auto"/>
        <w:bottom w:val="none" w:sz="0" w:space="0" w:color="auto"/>
        <w:right w:val="none" w:sz="0" w:space="0" w:color="auto"/>
      </w:divBdr>
    </w:div>
    <w:div w:id="1279532777">
      <w:bodyDiv w:val="1"/>
      <w:marLeft w:val="0"/>
      <w:marRight w:val="0"/>
      <w:marTop w:val="0"/>
      <w:marBottom w:val="0"/>
      <w:divBdr>
        <w:top w:val="none" w:sz="0" w:space="0" w:color="auto"/>
        <w:left w:val="none" w:sz="0" w:space="0" w:color="auto"/>
        <w:bottom w:val="none" w:sz="0" w:space="0" w:color="auto"/>
        <w:right w:val="none" w:sz="0" w:space="0" w:color="auto"/>
      </w:divBdr>
    </w:div>
    <w:div w:id="1283457343">
      <w:bodyDiv w:val="1"/>
      <w:marLeft w:val="0"/>
      <w:marRight w:val="0"/>
      <w:marTop w:val="0"/>
      <w:marBottom w:val="0"/>
      <w:divBdr>
        <w:top w:val="none" w:sz="0" w:space="0" w:color="auto"/>
        <w:left w:val="none" w:sz="0" w:space="0" w:color="auto"/>
        <w:bottom w:val="none" w:sz="0" w:space="0" w:color="auto"/>
        <w:right w:val="none" w:sz="0" w:space="0" w:color="auto"/>
      </w:divBdr>
    </w:div>
    <w:div w:id="1286734841">
      <w:bodyDiv w:val="1"/>
      <w:marLeft w:val="0"/>
      <w:marRight w:val="0"/>
      <w:marTop w:val="0"/>
      <w:marBottom w:val="0"/>
      <w:divBdr>
        <w:top w:val="none" w:sz="0" w:space="0" w:color="auto"/>
        <w:left w:val="none" w:sz="0" w:space="0" w:color="auto"/>
        <w:bottom w:val="none" w:sz="0" w:space="0" w:color="auto"/>
        <w:right w:val="none" w:sz="0" w:space="0" w:color="auto"/>
      </w:divBdr>
    </w:div>
    <w:div w:id="1287665391">
      <w:bodyDiv w:val="1"/>
      <w:marLeft w:val="0"/>
      <w:marRight w:val="0"/>
      <w:marTop w:val="0"/>
      <w:marBottom w:val="0"/>
      <w:divBdr>
        <w:top w:val="none" w:sz="0" w:space="0" w:color="auto"/>
        <w:left w:val="none" w:sz="0" w:space="0" w:color="auto"/>
        <w:bottom w:val="none" w:sz="0" w:space="0" w:color="auto"/>
        <w:right w:val="none" w:sz="0" w:space="0" w:color="auto"/>
      </w:divBdr>
    </w:div>
    <w:div w:id="1290622077">
      <w:bodyDiv w:val="1"/>
      <w:marLeft w:val="0"/>
      <w:marRight w:val="0"/>
      <w:marTop w:val="0"/>
      <w:marBottom w:val="0"/>
      <w:divBdr>
        <w:top w:val="none" w:sz="0" w:space="0" w:color="auto"/>
        <w:left w:val="none" w:sz="0" w:space="0" w:color="auto"/>
        <w:bottom w:val="none" w:sz="0" w:space="0" w:color="auto"/>
        <w:right w:val="none" w:sz="0" w:space="0" w:color="auto"/>
      </w:divBdr>
    </w:div>
    <w:div w:id="1295332392">
      <w:bodyDiv w:val="1"/>
      <w:marLeft w:val="0"/>
      <w:marRight w:val="0"/>
      <w:marTop w:val="0"/>
      <w:marBottom w:val="0"/>
      <w:divBdr>
        <w:top w:val="none" w:sz="0" w:space="0" w:color="auto"/>
        <w:left w:val="none" w:sz="0" w:space="0" w:color="auto"/>
        <w:bottom w:val="none" w:sz="0" w:space="0" w:color="auto"/>
        <w:right w:val="none" w:sz="0" w:space="0" w:color="auto"/>
      </w:divBdr>
      <w:divsChild>
        <w:div w:id="374161958">
          <w:marLeft w:val="0"/>
          <w:marRight w:val="0"/>
          <w:marTop w:val="0"/>
          <w:marBottom w:val="0"/>
          <w:divBdr>
            <w:top w:val="none" w:sz="0" w:space="0" w:color="auto"/>
            <w:left w:val="none" w:sz="0" w:space="0" w:color="auto"/>
            <w:bottom w:val="none" w:sz="0" w:space="0" w:color="auto"/>
            <w:right w:val="none" w:sz="0" w:space="0" w:color="auto"/>
          </w:divBdr>
          <w:divsChild>
            <w:div w:id="2103646374">
              <w:marLeft w:val="0"/>
              <w:marRight w:val="0"/>
              <w:marTop w:val="0"/>
              <w:marBottom w:val="0"/>
              <w:divBdr>
                <w:top w:val="none" w:sz="0" w:space="0" w:color="auto"/>
                <w:left w:val="none" w:sz="0" w:space="0" w:color="auto"/>
                <w:bottom w:val="none" w:sz="0" w:space="0" w:color="auto"/>
                <w:right w:val="none" w:sz="0" w:space="0" w:color="auto"/>
              </w:divBdr>
              <w:divsChild>
                <w:div w:id="7377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4498">
      <w:bodyDiv w:val="1"/>
      <w:marLeft w:val="0"/>
      <w:marRight w:val="0"/>
      <w:marTop w:val="0"/>
      <w:marBottom w:val="0"/>
      <w:divBdr>
        <w:top w:val="none" w:sz="0" w:space="0" w:color="auto"/>
        <w:left w:val="none" w:sz="0" w:space="0" w:color="auto"/>
        <w:bottom w:val="none" w:sz="0" w:space="0" w:color="auto"/>
        <w:right w:val="none" w:sz="0" w:space="0" w:color="auto"/>
      </w:divBdr>
    </w:div>
    <w:div w:id="1330403900">
      <w:bodyDiv w:val="1"/>
      <w:marLeft w:val="0"/>
      <w:marRight w:val="0"/>
      <w:marTop w:val="0"/>
      <w:marBottom w:val="0"/>
      <w:divBdr>
        <w:top w:val="none" w:sz="0" w:space="0" w:color="auto"/>
        <w:left w:val="none" w:sz="0" w:space="0" w:color="auto"/>
        <w:bottom w:val="none" w:sz="0" w:space="0" w:color="auto"/>
        <w:right w:val="none" w:sz="0" w:space="0" w:color="auto"/>
      </w:divBdr>
    </w:div>
    <w:div w:id="1349793635">
      <w:bodyDiv w:val="1"/>
      <w:marLeft w:val="0"/>
      <w:marRight w:val="0"/>
      <w:marTop w:val="0"/>
      <w:marBottom w:val="0"/>
      <w:divBdr>
        <w:top w:val="none" w:sz="0" w:space="0" w:color="auto"/>
        <w:left w:val="none" w:sz="0" w:space="0" w:color="auto"/>
        <w:bottom w:val="none" w:sz="0" w:space="0" w:color="auto"/>
        <w:right w:val="none" w:sz="0" w:space="0" w:color="auto"/>
      </w:divBdr>
    </w:div>
    <w:div w:id="1358115119">
      <w:bodyDiv w:val="1"/>
      <w:marLeft w:val="0"/>
      <w:marRight w:val="0"/>
      <w:marTop w:val="0"/>
      <w:marBottom w:val="0"/>
      <w:divBdr>
        <w:top w:val="none" w:sz="0" w:space="0" w:color="auto"/>
        <w:left w:val="none" w:sz="0" w:space="0" w:color="auto"/>
        <w:bottom w:val="none" w:sz="0" w:space="0" w:color="auto"/>
        <w:right w:val="none" w:sz="0" w:space="0" w:color="auto"/>
      </w:divBdr>
    </w:div>
    <w:div w:id="1363625764">
      <w:bodyDiv w:val="1"/>
      <w:marLeft w:val="0"/>
      <w:marRight w:val="0"/>
      <w:marTop w:val="0"/>
      <w:marBottom w:val="0"/>
      <w:divBdr>
        <w:top w:val="none" w:sz="0" w:space="0" w:color="auto"/>
        <w:left w:val="none" w:sz="0" w:space="0" w:color="auto"/>
        <w:bottom w:val="none" w:sz="0" w:space="0" w:color="auto"/>
        <w:right w:val="none" w:sz="0" w:space="0" w:color="auto"/>
      </w:divBdr>
      <w:divsChild>
        <w:div w:id="926420124">
          <w:marLeft w:val="0"/>
          <w:marRight w:val="0"/>
          <w:marTop w:val="0"/>
          <w:marBottom w:val="0"/>
          <w:divBdr>
            <w:top w:val="none" w:sz="0" w:space="0" w:color="auto"/>
            <w:left w:val="none" w:sz="0" w:space="0" w:color="auto"/>
            <w:bottom w:val="none" w:sz="0" w:space="0" w:color="auto"/>
            <w:right w:val="none" w:sz="0" w:space="0" w:color="auto"/>
          </w:divBdr>
          <w:divsChild>
            <w:div w:id="182477389">
              <w:marLeft w:val="0"/>
              <w:marRight w:val="0"/>
              <w:marTop w:val="0"/>
              <w:marBottom w:val="0"/>
              <w:divBdr>
                <w:top w:val="none" w:sz="0" w:space="0" w:color="auto"/>
                <w:left w:val="none" w:sz="0" w:space="0" w:color="auto"/>
                <w:bottom w:val="none" w:sz="0" w:space="0" w:color="auto"/>
                <w:right w:val="none" w:sz="0" w:space="0" w:color="auto"/>
              </w:divBdr>
              <w:divsChild>
                <w:div w:id="1433355829">
                  <w:marLeft w:val="0"/>
                  <w:marRight w:val="0"/>
                  <w:marTop w:val="0"/>
                  <w:marBottom w:val="0"/>
                  <w:divBdr>
                    <w:top w:val="none" w:sz="0" w:space="0" w:color="auto"/>
                    <w:left w:val="none" w:sz="0" w:space="0" w:color="auto"/>
                    <w:bottom w:val="none" w:sz="0" w:space="0" w:color="auto"/>
                    <w:right w:val="none" w:sz="0" w:space="0" w:color="auto"/>
                  </w:divBdr>
                  <w:divsChild>
                    <w:div w:id="807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03445">
      <w:bodyDiv w:val="1"/>
      <w:marLeft w:val="0"/>
      <w:marRight w:val="0"/>
      <w:marTop w:val="0"/>
      <w:marBottom w:val="0"/>
      <w:divBdr>
        <w:top w:val="none" w:sz="0" w:space="0" w:color="auto"/>
        <w:left w:val="none" w:sz="0" w:space="0" w:color="auto"/>
        <w:bottom w:val="none" w:sz="0" w:space="0" w:color="auto"/>
        <w:right w:val="none" w:sz="0" w:space="0" w:color="auto"/>
      </w:divBdr>
    </w:div>
    <w:div w:id="1365254886">
      <w:bodyDiv w:val="1"/>
      <w:marLeft w:val="0"/>
      <w:marRight w:val="0"/>
      <w:marTop w:val="0"/>
      <w:marBottom w:val="0"/>
      <w:divBdr>
        <w:top w:val="none" w:sz="0" w:space="0" w:color="auto"/>
        <w:left w:val="none" w:sz="0" w:space="0" w:color="auto"/>
        <w:bottom w:val="none" w:sz="0" w:space="0" w:color="auto"/>
        <w:right w:val="none" w:sz="0" w:space="0" w:color="auto"/>
      </w:divBdr>
    </w:div>
    <w:div w:id="1365908430">
      <w:bodyDiv w:val="1"/>
      <w:marLeft w:val="0"/>
      <w:marRight w:val="0"/>
      <w:marTop w:val="0"/>
      <w:marBottom w:val="0"/>
      <w:divBdr>
        <w:top w:val="none" w:sz="0" w:space="0" w:color="auto"/>
        <w:left w:val="none" w:sz="0" w:space="0" w:color="auto"/>
        <w:bottom w:val="none" w:sz="0" w:space="0" w:color="auto"/>
        <w:right w:val="none" w:sz="0" w:space="0" w:color="auto"/>
      </w:divBdr>
    </w:div>
    <w:div w:id="1369338226">
      <w:bodyDiv w:val="1"/>
      <w:marLeft w:val="0"/>
      <w:marRight w:val="0"/>
      <w:marTop w:val="0"/>
      <w:marBottom w:val="0"/>
      <w:divBdr>
        <w:top w:val="none" w:sz="0" w:space="0" w:color="auto"/>
        <w:left w:val="none" w:sz="0" w:space="0" w:color="auto"/>
        <w:bottom w:val="none" w:sz="0" w:space="0" w:color="auto"/>
        <w:right w:val="none" w:sz="0" w:space="0" w:color="auto"/>
      </w:divBdr>
    </w:div>
    <w:div w:id="1414935644">
      <w:bodyDiv w:val="1"/>
      <w:marLeft w:val="0"/>
      <w:marRight w:val="0"/>
      <w:marTop w:val="0"/>
      <w:marBottom w:val="0"/>
      <w:divBdr>
        <w:top w:val="none" w:sz="0" w:space="0" w:color="auto"/>
        <w:left w:val="none" w:sz="0" w:space="0" w:color="auto"/>
        <w:bottom w:val="none" w:sz="0" w:space="0" w:color="auto"/>
        <w:right w:val="none" w:sz="0" w:space="0" w:color="auto"/>
      </w:divBdr>
    </w:div>
    <w:div w:id="1418211777">
      <w:bodyDiv w:val="1"/>
      <w:marLeft w:val="0"/>
      <w:marRight w:val="0"/>
      <w:marTop w:val="0"/>
      <w:marBottom w:val="0"/>
      <w:divBdr>
        <w:top w:val="none" w:sz="0" w:space="0" w:color="auto"/>
        <w:left w:val="none" w:sz="0" w:space="0" w:color="auto"/>
        <w:bottom w:val="none" w:sz="0" w:space="0" w:color="auto"/>
        <w:right w:val="none" w:sz="0" w:space="0" w:color="auto"/>
      </w:divBdr>
    </w:div>
    <w:div w:id="1420759727">
      <w:bodyDiv w:val="1"/>
      <w:marLeft w:val="0"/>
      <w:marRight w:val="0"/>
      <w:marTop w:val="0"/>
      <w:marBottom w:val="0"/>
      <w:divBdr>
        <w:top w:val="none" w:sz="0" w:space="0" w:color="auto"/>
        <w:left w:val="none" w:sz="0" w:space="0" w:color="auto"/>
        <w:bottom w:val="none" w:sz="0" w:space="0" w:color="auto"/>
        <w:right w:val="none" w:sz="0" w:space="0" w:color="auto"/>
      </w:divBdr>
    </w:div>
    <w:div w:id="1422027644">
      <w:bodyDiv w:val="1"/>
      <w:marLeft w:val="0"/>
      <w:marRight w:val="0"/>
      <w:marTop w:val="0"/>
      <w:marBottom w:val="0"/>
      <w:divBdr>
        <w:top w:val="none" w:sz="0" w:space="0" w:color="auto"/>
        <w:left w:val="none" w:sz="0" w:space="0" w:color="auto"/>
        <w:bottom w:val="none" w:sz="0" w:space="0" w:color="auto"/>
        <w:right w:val="none" w:sz="0" w:space="0" w:color="auto"/>
      </w:divBdr>
    </w:div>
    <w:div w:id="1428385228">
      <w:bodyDiv w:val="1"/>
      <w:marLeft w:val="0"/>
      <w:marRight w:val="0"/>
      <w:marTop w:val="0"/>
      <w:marBottom w:val="0"/>
      <w:divBdr>
        <w:top w:val="none" w:sz="0" w:space="0" w:color="auto"/>
        <w:left w:val="none" w:sz="0" w:space="0" w:color="auto"/>
        <w:bottom w:val="none" w:sz="0" w:space="0" w:color="auto"/>
        <w:right w:val="none" w:sz="0" w:space="0" w:color="auto"/>
      </w:divBdr>
    </w:div>
    <w:div w:id="1431045310">
      <w:bodyDiv w:val="1"/>
      <w:marLeft w:val="0"/>
      <w:marRight w:val="0"/>
      <w:marTop w:val="0"/>
      <w:marBottom w:val="0"/>
      <w:divBdr>
        <w:top w:val="none" w:sz="0" w:space="0" w:color="auto"/>
        <w:left w:val="none" w:sz="0" w:space="0" w:color="auto"/>
        <w:bottom w:val="none" w:sz="0" w:space="0" w:color="auto"/>
        <w:right w:val="none" w:sz="0" w:space="0" w:color="auto"/>
      </w:divBdr>
    </w:div>
    <w:div w:id="1431969512">
      <w:bodyDiv w:val="1"/>
      <w:marLeft w:val="0"/>
      <w:marRight w:val="0"/>
      <w:marTop w:val="0"/>
      <w:marBottom w:val="0"/>
      <w:divBdr>
        <w:top w:val="none" w:sz="0" w:space="0" w:color="auto"/>
        <w:left w:val="none" w:sz="0" w:space="0" w:color="auto"/>
        <w:bottom w:val="none" w:sz="0" w:space="0" w:color="auto"/>
        <w:right w:val="none" w:sz="0" w:space="0" w:color="auto"/>
      </w:divBdr>
      <w:divsChild>
        <w:div w:id="409427465">
          <w:marLeft w:val="0"/>
          <w:marRight w:val="0"/>
          <w:marTop w:val="0"/>
          <w:marBottom w:val="0"/>
          <w:divBdr>
            <w:top w:val="none" w:sz="0" w:space="0" w:color="auto"/>
            <w:left w:val="none" w:sz="0" w:space="0" w:color="auto"/>
            <w:bottom w:val="none" w:sz="0" w:space="0" w:color="auto"/>
            <w:right w:val="none" w:sz="0" w:space="0" w:color="auto"/>
          </w:divBdr>
        </w:div>
        <w:div w:id="410588154">
          <w:marLeft w:val="0"/>
          <w:marRight w:val="0"/>
          <w:marTop w:val="0"/>
          <w:marBottom w:val="0"/>
          <w:divBdr>
            <w:top w:val="none" w:sz="0" w:space="0" w:color="auto"/>
            <w:left w:val="none" w:sz="0" w:space="0" w:color="auto"/>
            <w:bottom w:val="none" w:sz="0" w:space="0" w:color="auto"/>
            <w:right w:val="none" w:sz="0" w:space="0" w:color="auto"/>
          </w:divBdr>
        </w:div>
        <w:div w:id="455442270">
          <w:marLeft w:val="0"/>
          <w:marRight w:val="0"/>
          <w:marTop w:val="0"/>
          <w:marBottom w:val="0"/>
          <w:divBdr>
            <w:top w:val="none" w:sz="0" w:space="0" w:color="auto"/>
            <w:left w:val="none" w:sz="0" w:space="0" w:color="auto"/>
            <w:bottom w:val="none" w:sz="0" w:space="0" w:color="auto"/>
            <w:right w:val="none" w:sz="0" w:space="0" w:color="auto"/>
          </w:divBdr>
        </w:div>
        <w:div w:id="464931233">
          <w:marLeft w:val="0"/>
          <w:marRight w:val="0"/>
          <w:marTop w:val="0"/>
          <w:marBottom w:val="0"/>
          <w:divBdr>
            <w:top w:val="none" w:sz="0" w:space="0" w:color="auto"/>
            <w:left w:val="none" w:sz="0" w:space="0" w:color="auto"/>
            <w:bottom w:val="none" w:sz="0" w:space="0" w:color="auto"/>
            <w:right w:val="none" w:sz="0" w:space="0" w:color="auto"/>
          </w:divBdr>
        </w:div>
        <w:div w:id="777675163">
          <w:marLeft w:val="0"/>
          <w:marRight w:val="0"/>
          <w:marTop w:val="0"/>
          <w:marBottom w:val="0"/>
          <w:divBdr>
            <w:top w:val="none" w:sz="0" w:space="0" w:color="auto"/>
            <w:left w:val="none" w:sz="0" w:space="0" w:color="auto"/>
            <w:bottom w:val="none" w:sz="0" w:space="0" w:color="auto"/>
            <w:right w:val="none" w:sz="0" w:space="0" w:color="auto"/>
          </w:divBdr>
        </w:div>
        <w:div w:id="781189452">
          <w:marLeft w:val="0"/>
          <w:marRight w:val="0"/>
          <w:marTop w:val="0"/>
          <w:marBottom w:val="0"/>
          <w:divBdr>
            <w:top w:val="none" w:sz="0" w:space="0" w:color="auto"/>
            <w:left w:val="none" w:sz="0" w:space="0" w:color="auto"/>
            <w:bottom w:val="none" w:sz="0" w:space="0" w:color="auto"/>
            <w:right w:val="none" w:sz="0" w:space="0" w:color="auto"/>
          </w:divBdr>
        </w:div>
        <w:div w:id="1013531952">
          <w:marLeft w:val="0"/>
          <w:marRight w:val="0"/>
          <w:marTop w:val="0"/>
          <w:marBottom w:val="0"/>
          <w:divBdr>
            <w:top w:val="none" w:sz="0" w:space="0" w:color="auto"/>
            <w:left w:val="none" w:sz="0" w:space="0" w:color="auto"/>
            <w:bottom w:val="none" w:sz="0" w:space="0" w:color="auto"/>
            <w:right w:val="none" w:sz="0" w:space="0" w:color="auto"/>
          </w:divBdr>
        </w:div>
        <w:div w:id="1375815683">
          <w:marLeft w:val="0"/>
          <w:marRight w:val="0"/>
          <w:marTop w:val="0"/>
          <w:marBottom w:val="0"/>
          <w:divBdr>
            <w:top w:val="none" w:sz="0" w:space="0" w:color="auto"/>
            <w:left w:val="none" w:sz="0" w:space="0" w:color="auto"/>
            <w:bottom w:val="none" w:sz="0" w:space="0" w:color="auto"/>
            <w:right w:val="none" w:sz="0" w:space="0" w:color="auto"/>
          </w:divBdr>
        </w:div>
        <w:div w:id="1382173041">
          <w:marLeft w:val="0"/>
          <w:marRight w:val="0"/>
          <w:marTop w:val="0"/>
          <w:marBottom w:val="0"/>
          <w:divBdr>
            <w:top w:val="none" w:sz="0" w:space="0" w:color="auto"/>
            <w:left w:val="none" w:sz="0" w:space="0" w:color="auto"/>
            <w:bottom w:val="none" w:sz="0" w:space="0" w:color="auto"/>
            <w:right w:val="none" w:sz="0" w:space="0" w:color="auto"/>
          </w:divBdr>
        </w:div>
        <w:div w:id="1873885885">
          <w:marLeft w:val="0"/>
          <w:marRight w:val="0"/>
          <w:marTop w:val="0"/>
          <w:marBottom w:val="0"/>
          <w:divBdr>
            <w:top w:val="none" w:sz="0" w:space="0" w:color="auto"/>
            <w:left w:val="none" w:sz="0" w:space="0" w:color="auto"/>
            <w:bottom w:val="none" w:sz="0" w:space="0" w:color="auto"/>
            <w:right w:val="none" w:sz="0" w:space="0" w:color="auto"/>
          </w:divBdr>
        </w:div>
        <w:div w:id="1923835885">
          <w:marLeft w:val="0"/>
          <w:marRight w:val="0"/>
          <w:marTop w:val="0"/>
          <w:marBottom w:val="0"/>
          <w:divBdr>
            <w:top w:val="none" w:sz="0" w:space="0" w:color="auto"/>
            <w:left w:val="none" w:sz="0" w:space="0" w:color="auto"/>
            <w:bottom w:val="none" w:sz="0" w:space="0" w:color="auto"/>
            <w:right w:val="none" w:sz="0" w:space="0" w:color="auto"/>
          </w:divBdr>
        </w:div>
      </w:divsChild>
    </w:div>
    <w:div w:id="1440678320">
      <w:bodyDiv w:val="1"/>
      <w:marLeft w:val="0"/>
      <w:marRight w:val="0"/>
      <w:marTop w:val="0"/>
      <w:marBottom w:val="0"/>
      <w:divBdr>
        <w:top w:val="none" w:sz="0" w:space="0" w:color="auto"/>
        <w:left w:val="none" w:sz="0" w:space="0" w:color="auto"/>
        <w:bottom w:val="none" w:sz="0" w:space="0" w:color="auto"/>
        <w:right w:val="none" w:sz="0" w:space="0" w:color="auto"/>
      </w:divBdr>
    </w:div>
    <w:div w:id="1441491053">
      <w:bodyDiv w:val="1"/>
      <w:marLeft w:val="0"/>
      <w:marRight w:val="0"/>
      <w:marTop w:val="0"/>
      <w:marBottom w:val="0"/>
      <w:divBdr>
        <w:top w:val="none" w:sz="0" w:space="0" w:color="auto"/>
        <w:left w:val="none" w:sz="0" w:space="0" w:color="auto"/>
        <w:bottom w:val="none" w:sz="0" w:space="0" w:color="auto"/>
        <w:right w:val="none" w:sz="0" w:space="0" w:color="auto"/>
      </w:divBdr>
    </w:div>
    <w:div w:id="1450197237">
      <w:bodyDiv w:val="1"/>
      <w:marLeft w:val="0"/>
      <w:marRight w:val="0"/>
      <w:marTop w:val="0"/>
      <w:marBottom w:val="0"/>
      <w:divBdr>
        <w:top w:val="none" w:sz="0" w:space="0" w:color="auto"/>
        <w:left w:val="none" w:sz="0" w:space="0" w:color="auto"/>
        <w:bottom w:val="none" w:sz="0" w:space="0" w:color="auto"/>
        <w:right w:val="none" w:sz="0" w:space="0" w:color="auto"/>
      </w:divBdr>
    </w:div>
    <w:div w:id="1453092344">
      <w:bodyDiv w:val="1"/>
      <w:marLeft w:val="0"/>
      <w:marRight w:val="0"/>
      <w:marTop w:val="0"/>
      <w:marBottom w:val="0"/>
      <w:divBdr>
        <w:top w:val="none" w:sz="0" w:space="0" w:color="auto"/>
        <w:left w:val="none" w:sz="0" w:space="0" w:color="auto"/>
        <w:bottom w:val="none" w:sz="0" w:space="0" w:color="auto"/>
        <w:right w:val="none" w:sz="0" w:space="0" w:color="auto"/>
      </w:divBdr>
      <w:divsChild>
        <w:div w:id="1870684302">
          <w:marLeft w:val="0"/>
          <w:marRight w:val="0"/>
          <w:marTop w:val="0"/>
          <w:marBottom w:val="0"/>
          <w:divBdr>
            <w:top w:val="none" w:sz="0" w:space="0" w:color="auto"/>
            <w:left w:val="none" w:sz="0" w:space="0" w:color="auto"/>
            <w:bottom w:val="none" w:sz="0" w:space="0" w:color="auto"/>
            <w:right w:val="none" w:sz="0" w:space="0" w:color="auto"/>
          </w:divBdr>
          <w:divsChild>
            <w:div w:id="928582646">
              <w:marLeft w:val="0"/>
              <w:marRight w:val="0"/>
              <w:marTop w:val="0"/>
              <w:marBottom w:val="0"/>
              <w:divBdr>
                <w:top w:val="none" w:sz="0" w:space="0" w:color="auto"/>
                <w:left w:val="none" w:sz="0" w:space="0" w:color="auto"/>
                <w:bottom w:val="none" w:sz="0" w:space="0" w:color="auto"/>
                <w:right w:val="none" w:sz="0" w:space="0" w:color="auto"/>
              </w:divBdr>
              <w:divsChild>
                <w:div w:id="13948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02952">
      <w:bodyDiv w:val="1"/>
      <w:marLeft w:val="0"/>
      <w:marRight w:val="0"/>
      <w:marTop w:val="0"/>
      <w:marBottom w:val="0"/>
      <w:divBdr>
        <w:top w:val="none" w:sz="0" w:space="0" w:color="auto"/>
        <w:left w:val="none" w:sz="0" w:space="0" w:color="auto"/>
        <w:bottom w:val="none" w:sz="0" w:space="0" w:color="auto"/>
        <w:right w:val="none" w:sz="0" w:space="0" w:color="auto"/>
      </w:divBdr>
    </w:div>
    <w:div w:id="1485118447">
      <w:bodyDiv w:val="1"/>
      <w:marLeft w:val="0"/>
      <w:marRight w:val="0"/>
      <w:marTop w:val="0"/>
      <w:marBottom w:val="0"/>
      <w:divBdr>
        <w:top w:val="none" w:sz="0" w:space="0" w:color="auto"/>
        <w:left w:val="none" w:sz="0" w:space="0" w:color="auto"/>
        <w:bottom w:val="none" w:sz="0" w:space="0" w:color="auto"/>
        <w:right w:val="none" w:sz="0" w:space="0" w:color="auto"/>
      </w:divBdr>
    </w:div>
    <w:div w:id="1489783785">
      <w:bodyDiv w:val="1"/>
      <w:marLeft w:val="0"/>
      <w:marRight w:val="0"/>
      <w:marTop w:val="0"/>
      <w:marBottom w:val="0"/>
      <w:divBdr>
        <w:top w:val="none" w:sz="0" w:space="0" w:color="auto"/>
        <w:left w:val="none" w:sz="0" w:space="0" w:color="auto"/>
        <w:bottom w:val="none" w:sz="0" w:space="0" w:color="auto"/>
        <w:right w:val="none" w:sz="0" w:space="0" w:color="auto"/>
      </w:divBdr>
    </w:div>
    <w:div w:id="1494834929">
      <w:bodyDiv w:val="1"/>
      <w:marLeft w:val="0"/>
      <w:marRight w:val="0"/>
      <w:marTop w:val="0"/>
      <w:marBottom w:val="0"/>
      <w:divBdr>
        <w:top w:val="none" w:sz="0" w:space="0" w:color="auto"/>
        <w:left w:val="none" w:sz="0" w:space="0" w:color="auto"/>
        <w:bottom w:val="none" w:sz="0" w:space="0" w:color="auto"/>
        <w:right w:val="none" w:sz="0" w:space="0" w:color="auto"/>
      </w:divBdr>
    </w:div>
    <w:div w:id="1497767529">
      <w:bodyDiv w:val="1"/>
      <w:marLeft w:val="0"/>
      <w:marRight w:val="0"/>
      <w:marTop w:val="0"/>
      <w:marBottom w:val="0"/>
      <w:divBdr>
        <w:top w:val="none" w:sz="0" w:space="0" w:color="auto"/>
        <w:left w:val="none" w:sz="0" w:space="0" w:color="auto"/>
        <w:bottom w:val="none" w:sz="0" w:space="0" w:color="auto"/>
        <w:right w:val="none" w:sz="0" w:space="0" w:color="auto"/>
      </w:divBdr>
      <w:divsChild>
        <w:div w:id="2074233843">
          <w:marLeft w:val="0"/>
          <w:marRight w:val="0"/>
          <w:marTop w:val="0"/>
          <w:marBottom w:val="0"/>
          <w:divBdr>
            <w:top w:val="none" w:sz="0" w:space="0" w:color="auto"/>
            <w:left w:val="none" w:sz="0" w:space="0" w:color="auto"/>
            <w:bottom w:val="none" w:sz="0" w:space="0" w:color="auto"/>
            <w:right w:val="none" w:sz="0" w:space="0" w:color="auto"/>
          </w:divBdr>
          <w:divsChild>
            <w:div w:id="361322168">
              <w:marLeft w:val="0"/>
              <w:marRight w:val="0"/>
              <w:marTop w:val="0"/>
              <w:marBottom w:val="0"/>
              <w:divBdr>
                <w:top w:val="none" w:sz="0" w:space="0" w:color="auto"/>
                <w:left w:val="none" w:sz="0" w:space="0" w:color="auto"/>
                <w:bottom w:val="none" w:sz="0" w:space="0" w:color="auto"/>
                <w:right w:val="none" w:sz="0" w:space="0" w:color="auto"/>
              </w:divBdr>
              <w:divsChild>
                <w:div w:id="1665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1956">
      <w:bodyDiv w:val="1"/>
      <w:marLeft w:val="0"/>
      <w:marRight w:val="0"/>
      <w:marTop w:val="0"/>
      <w:marBottom w:val="0"/>
      <w:divBdr>
        <w:top w:val="none" w:sz="0" w:space="0" w:color="auto"/>
        <w:left w:val="none" w:sz="0" w:space="0" w:color="auto"/>
        <w:bottom w:val="none" w:sz="0" w:space="0" w:color="auto"/>
        <w:right w:val="none" w:sz="0" w:space="0" w:color="auto"/>
      </w:divBdr>
    </w:div>
    <w:div w:id="1507789148">
      <w:bodyDiv w:val="1"/>
      <w:marLeft w:val="0"/>
      <w:marRight w:val="0"/>
      <w:marTop w:val="0"/>
      <w:marBottom w:val="0"/>
      <w:divBdr>
        <w:top w:val="none" w:sz="0" w:space="0" w:color="auto"/>
        <w:left w:val="none" w:sz="0" w:space="0" w:color="auto"/>
        <w:bottom w:val="none" w:sz="0" w:space="0" w:color="auto"/>
        <w:right w:val="none" w:sz="0" w:space="0" w:color="auto"/>
      </w:divBdr>
    </w:div>
    <w:div w:id="1510680345">
      <w:bodyDiv w:val="1"/>
      <w:marLeft w:val="0"/>
      <w:marRight w:val="0"/>
      <w:marTop w:val="0"/>
      <w:marBottom w:val="0"/>
      <w:divBdr>
        <w:top w:val="none" w:sz="0" w:space="0" w:color="auto"/>
        <w:left w:val="none" w:sz="0" w:space="0" w:color="auto"/>
        <w:bottom w:val="none" w:sz="0" w:space="0" w:color="auto"/>
        <w:right w:val="none" w:sz="0" w:space="0" w:color="auto"/>
      </w:divBdr>
    </w:div>
    <w:div w:id="1511094675">
      <w:bodyDiv w:val="1"/>
      <w:marLeft w:val="0"/>
      <w:marRight w:val="0"/>
      <w:marTop w:val="0"/>
      <w:marBottom w:val="0"/>
      <w:divBdr>
        <w:top w:val="none" w:sz="0" w:space="0" w:color="auto"/>
        <w:left w:val="none" w:sz="0" w:space="0" w:color="auto"/>
        <w:bottom w:val="none" w:sz="0" w:space="0" w:color="auto"/>
        <w:right w:val="none" w:sz="0" w:space="0" w:color="auto"/>
      </w:divBdr>
    </w:div>
    <w:div w:id="1525168667">
      <w:bodyDiv w:val="1"/>
      <w:marLeft w:val="0"/>
      <w:marRight w:val="0"/>
      <w:marTop w:val="0"/>
      <w:marBottom w:val="0"/>
      <w:divBdr>
        <w:top w:val="none" w:sz="0" w:space="0" w:color="auto"/>
        <w:left w:val="none" w:sz="0" w:space="0" w:color="auto"/>
        <w:bottom w:val="none" w:sz="0" w:space="0" w:color="auto"/>
        <w:right w:val="none" w:sz="0" w:space="0" w:color="auto"/>
      </w:divBdr>
    </w:div>
    <w:div w:id="1526210452">
      <w:bodyDiv w:val="1"/>
      <w:marLeft w:val="0"/>
      <w:marRight w:val="0"/>
      <w:marTop w:val="0"/>
      <w:marBottom w:val="0"/>
      <w:divBdr>
        <w:top w:val="none" w:sz="0" w:space="0" w:color="auto"/>
        <w:left w:val="none" w:sz="0" w:space="0" w:color="auto"/>
        <w:bottom w:val="none" w:sz="0" w:space="0" w:color="auto"/>
        <w:right w:val="none" w:sz="0" w:space="0" w:color="auto"/>
      </w:divBdr>
    </w:div>
    <w:div w:id="1539321244">
      <w:bodyDiv w:val="1"/>
      <w:marLeft w:val="0"/>
      <w:marRight w:val="0"/>
      <w:marTop w:val="0"/>
      <w:marBottom w:val="0"/>
      <w:divBdr>
        <w:top w:val="none" w:sz="0" w:space="0" w:color="auto"/>
        <w:left w:val="none" w:sz="0" w:space="0" w:color="auto"/>
        <w:bottom w:val="none" w:sz="0" w:space="0" w:color="auto"/>
        <w:right w:val="none" w:sz="0" w:space="0" w:color="auto"/>
      </w:divBdr>
    </w:div>
    <w:div w:id="1543714555">
      <w:bodyDiv w:val="1"/>
      <w:marLeft w:val="0"/>
      <w:marRight w:val="0"/>
      <w:marTop w:val="0"/>
      <w:marBottom w:val="0"/>
      <w:divBdr>
        <w:top w:val="none" w:sz="0" w:space="0" w:color="auto"/>
        <w:left w:val="none" w:sz="0" w:space="0" w:color="auto"/>
        <w:bottom w:val="none" w:sz="0" w:space="0" w:color="auto"/>
        <w:right w:val="none" w:sz="0" w:space="0" w:color="auto"/>
      </w:divBdr>
    </w:div>
    <w:div w:id="1546022595">
      <w:bodyDiv w:val="1"/>
      <w:marLeft w:val="0"/>
      <w:marRight w:val="0"/>
      <w:marTop w:val="0"/>
      <w:marBottom w:val="0"/>
      <w:divBdr>
        <w:top w:val="none" w:sz="0" w:space="0" w:color="auto"/>
        <w:left w:val="none" w:sz="0" w:space="0" w:color="auto"/>
        <w:bottom w:val="none" w:sz="0" w:space="0" w:color="auto"/>
        <w:right w:val="none" w:sz="0" w:space="0" w:color="auto"/>
      </w:divBdr>
    </w:div>
    <w:div w:id="1548493949">
      <w:bodyDiv w:val="1"/>
      <w:marLeft w:val="0"/>
      <w:marRight w:val="0"/>
      <w:marTop w:val="0"/>
      <w:marBottom w:val="0"/>
      <w:divBdr>
        <w:top w:val="none" w:sz="0" w:space="0" w:color="auto"/>
        <w:left w:val="none" w:sz="0" w:space="0" w:color="auto"/>
        <w:bottom w:val="none" w:sz="0" w:space="0" w:color="auto"/>
        <w:right w:val="none" w:sz="0" w:space="0" w:color="auto"/>
      </w:divBdr>
      <w:divsChild>
        <w:div w:id="1358239251">
          <w:marLeft w:val="0"/>
          <w:marRight w:val="0"/>
          <w:marTop w:val="0"/>
          <w:marBottom w:val="0"/>
          <w:divBdr>
            <w:top w:val="none" w:sz="0" w:space="0" w:color="auto"/>
            <w:left w:val="none" w:sz="0" w:space="0" w:color="auto"/>
            <w:bottom w:val="none" w:sz="0" w:space="0" w:color="auto"/>
            <w:right w:val="none" w:sz="0" w:space="0" w:color="auto"/>
          </w:divBdr>
          <w:divsChild>
            <w:div w:id="773788512">
              <w:marLeft w:val="0"/>
              <w:marRight w:val="0"/>
              <w:marTop w:val="0"/>
              <w:marBottom w:val="0"/>
              <w:divBdr>
                <w:top w:val="none" w:sz="0" w:space="0" w:color="auto"/>
                <w:left w:val="none" w:sz="0" w:space="0" w:color="auto"/>
                <w:bottom w:val="none" w:sz="0" w:space="0" w:color="auto"/>
                <w:right w:val="none" w:sz="0" w:space="0" w:color="auto"/>
              </w:divBdr>
              <w:divsChild>
                <w:div w:id="5749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566">
      <w:bodyDiv w:val="1"/>
      <w:marLeft w:val="0"/>
      <w:marRight w:val="0"/>
      <w:marTop w:val="0"/>
      <w:marBottom w:val="0"/>
      <w:divBdr>
        <w:top w:val="none" w:sz="0" w:space="0" w:color="auto"/>
        <w:left w:val="none" w:sz="0" w:space="0" w:color="auto"/>
        <w:bottom w:val="none" w:sz="0" w:space="0" w:color="auto"/>
        <w:right w:val="none" w:sz="0" w:space="0" w:color="auto"/>
      </w:divBdr>
    </w:div>
    <w:div w:id="1555505767">
      <w:bodyDiv w:val="1"/>
      <w:marLeft w:val="0"/>
      <w:marRight w:val="0"/>
      <w:marTop w:val="0"/>
      <w:marBottom w:val="0"/>
      <w:divBdr>
        <w:top w:val="none" w:sz="0" w:space="0" w:color="auto"/>
        <w:left w:val="none" w:sz="0" w:space="0" w:color="auto"/>
        <w:bottom w:val="none" w:sz="0" w:space="0" w:color="auto"/>
        <w:right w:val="none" w:sz="0" w:space="0" w:color="auto"/>
      </w:divBdr>
    </w:div>
    <w:div w:id="1562213133">
      <w:bodyDiv w:val="1"/>
      <w:marLeft w:val="0"/>
      <w:marRight w:val="0"/>
      <w:marTop w:val="0"/>
      <w:marBottom w:val="0"/>
      <w:divBdr>
        <w:top w:val="none" w:sz="0" w:space="0" w:color="auto"/>
        <w:left w:val="none" w:sz="0" w:space="0" w:color="auto"/>
        <w:bottom w:val="none" w:sz="0" w:space="0" w:color="auto"/>
        <w:right w:val="none" w:sz="0" w:space="0" w:color="auto"/>
      </w:divBdr>
    </w:div>
    <w:div w:id="1562329109">
      <w:bodyDiv w:val="1"/>
      <w:marLeft w:val="0"/>
      <w:marRight w:val="0"/>
      <w:marTop w:val="0"/>
      <w:marBottom w:val="0"/>
      <w:divBdr>
        <w:top w:val="none" w:sz="0" w:space="0" w:color="auto"/>
        <w:left w:val="none" w:sz="0" w:space="0" w:color="auto"/>
        <w:bottom w:val="none" w:sz="0" w:space="0" w:color="auto"/>
        <w:right w:val="none" w:sz="0" w:space="0" w:color="auto"/>
      </w:divBdr>
    </w:div>
    <w:div w:id="1571648161">
      <w:bodyDiv w:val="1"/>
      <w:marLeft w:val="0"/>
      <w:marRight w:val="0"/>
      <w:marTop w:val="0"/>
      <w:marBottom w:val="0"/>
      <w:divBdr>
        <w:top w:val="none" w:sz="0" w:space="0" w:color="auto"/>
        <w:left w:val="none" w:sz="0" w:space="0" w:color="auto"/>
        <w:bottom w:val="none" w:sz="0" w:space="0" w:color="auto"/>
        <w:right w:val="none" w:sz="0" w:space="0" w:color="auto"/>
      </w:divBdr>
    </w:div>
    <w:div w:id="1573151244">
      <w:bodyDiv w:val="1"/>
      <w:marLeft w:val="0"/>
      <w:marRight w:val="0"/>
      <w:marTop w:val="0"/>
      <w:marBottom w:val="0"/>
      <w:divBdr>
        <w:top w:val="none" w:sz="0" w:space="0" w:color="auto"/>
        <w:left w:val="none" w:sz="0" w:space="0" w:color="auto"/>
        <w:bottom w:val="none" w:sz="0" w:space="0" w:color="auto"/>
        <w:right w:val="none" w:sz="0" w:space="0" w:color="auto"/>
      </w:divBdr>
    </w:div>
    <w:div w:id="1583876835">
      <w:bodyDiv w:val="1"/>
      <w:marLeft w:val="0"/>
      <w:marRight w:val="0"/>
      <w:marTop w:val="0"/>
      <w:marBottom w:val="0"/>
      <w:divBdr>
        <w:top w:val="none" w:sz="0" w:space="0" w:color="auto"/>
        <w:left w:val="none" w:sz="0" w:space="0" w:color="auto"/>
        <w:bottom w:val="none" w:sz="0" w:space="0" w:color="auto"/>
        <w:right w:val="none" w:sz="0" w:space="0" w:color="auto"/>
      </w:divBdr>
    </w:div>
    <w:div w:id="1585919478">
      <w:bodyDiv w:val="1"/>
      <w:marLeft w:val="0"/>
      <w:marRight w:val="0"/>
      <w:marTop w:val="0"/>
      <w:marBottom w:val="0"/>
      <w:divBdr>
        <w:top w:val="none" w:sz="0" w:space="0" w:color="auto"/>
        <w:left w:val="none" w:sz="0" w:space="0" w:color="auto"/>
        <w:bottom w:val="none" w:sz="0" w:space="0" w:color="auto"/>
        <w:right w:val="none" w:sz="0" w:space="0" w:color="auto"/>
      </w:divBdr>
    </w:div>
    <w:div w:id="1615866926">
      <w:bodyDiv w:val="1"/>
      <w:marLeft w:val="0"/>
      <w:marRight w:val="0"/>
      <w:marTop w:val="0"/>
      <w:marBottom w:val="0"/>
      <w:divBdr>
        <w:top w:val="none" w:sz="0" w:space="0" w:color="auto"/>
        <w:left w:val="none" w:sz="0" w:space="0" w:color="auto"/>
        <w:bottom w:val="none" w:sz="0" w:space="0" w:color="auto"/>
        <w:right w:val="none" w:sz="0" w:space="0" w:color="auto"/>
      </w:divBdr>
    </w:div>
    <w:div w:id="1621572631">
      <w:bodyDiv w:val="1"/>
      <w:marLeft w:val="0"/>
      <w:marRight w:val="0"/>
      <w:marTop w:val="0"/>
      <w:marBottom w:val="0"/>
      <w:divBdr>
        <w:top w:val="none" w:sz="0" w:space="0" w:color="auto"/>
        <w:left w:val="none" w:sz="0" w:space="0" w:color="auto"/>
        <w:bottom w:val="none" w:sz="0" w:space="0" w:color="auto"/>
        <w:right w:val="none" w:sz="0" w:space="0" w:color="auto"/>
      </w:divBdr>
      <w:divsChild>
        <w:div w:id="1243249716">
          <w:marLeft w:val="0"/>
          <w:marRight w:val="0"/>
          <w:marTop w:val="0"/>
          <w:marBottom w:val="0"/>
          <w:divBdr>
            <w:top w:val="none" w:sz="0" w:space="0" w:color="auto"/>
            <w:left w:val="none" w:sz="0" w:space="0" w:color="auto"/>
            <w:bottom w:val="none" w:sz="0" w:space="0" w:color="auto"/>
            <w:right w:val="none" w:sz="0" w:space="0" w:color="auto"/>
          </w:divBdr>
        </w:div>
        <w:div w:id="17243615">
          <w:marLeft w:val="0"/>
          <w:marRight w:val="0"/>
          <w:marTop w:val="0"/>
          <w:marBottom w:val="0"/>
          <w:divBdr>
            <w:top w:val="none" w:sz="0" w:space="0" w:color="auto"/>
            <w:left w:val="none" w:sz="0" w:space="0" w:color="auto"/>
            <w:bottom w:val="none" w:sz="0" w:space="0" w:color="auto"/>
            <w:right w:val="none" w:sz="0" w:space="0" w:color="auto"/>
          </w:divBdr>
        </w:div>
        <w:div w:id="128675244">
          <w:marLeft w:val="0"/>
          <w:marRight w:val="0"/>
          <w:marTop w:val="0"/>
          <w:marBottom w:val="0"/>
          <w:divBdr>
            <w:top w:val="none" w:sz="0" w:space="0" w:color="auto"/>
            <w:left w:val="none" w:sz="0" w:space="0" w:color="auto"/>
            <w:bottom w:val="none" w:sz="0" w:space="0" w:color="auto"/>
            <w:right w:val="none" w:sz="0" w:space="0" w:color="auto"/>
          </w:divBdr>
        </w:div>
        <w:div w:id="432633244">
          <w:marLeft w:val="0"/>
          <w:marRight w:val="0"/>
          <w:marTop w:val="0"/>
          <w:marBottom w:val="0"/>
          <w:divBdr>
            <w:top w:val="none" w:sz="0" w:space="0" w:color="auto"/>
            <w:left w:val="none" w:sz="0" w:space="0" w:color="auto"/>
            <w:bottom w:val="none" w:sz="0" w:space="0" w:color="auto"/>
            <w:right w:val="none" w:sz="0" w:space="0" w:color="auto"/>
          </w:divBdr>
        </w:div>
        <w:div w:id="172912776">
          <w:marLeft w:val="0"/>
          <w:marRight w:val="0"/>
          <w:marTop w:val="0"/>
          <w:marBottom w:val="0"/>
          <w:divBdr>
            <w:top w:val="none" w:sz="0" w:space="0" w:color="auto"/>
            <w:left w:val="none" w:sz="0" w:space="0" w:color="auto"/>
            <w:bottom w:val="none" w:sz="0" w:space="0" w:color="auto"/>
            <w:right w:val="none" w:sz="0" w:space="0" w:color="auto"/>
          </w:divBdr>
        </w:div>
        <w:div w:id="1106653441">
          <w:marLeft w:val="0"/>
          <w:marRight w:val="0"/>
          <w:marTop w:val="0"/>
          <w:marBottom w:val="0"/>
          <w:divBdr>
            <w:top w:val="none" w:sz="0" w:space="0" w:color="auto"/>
            <w:left w:val="none" w:sz="0" w:space="0" w:color="auto"/>
            <w:bottom w:val="none" w:sz="0" w:space="0" w:color="auto"/>
            <w:right w:val="none" w:sz="0" w:space="0" w:color="auto"/>
          </w:divBdr>
        </w:div>
        <w:div w:id="173037954">
          <w:marLeft w:val="0"/>
          <w:marRight w:val="0"/>
          <w:marTop w:val="0"/>
          <w:marBottom w:val="0"/>
          <w:divBdr>
            <w:top w:val="none" w:sz="0" w:space="0" w:color="auto"/>
            <w:left w:val="none" w:sz="0" w:space="0" w:color="auto"/>
            <w:bottom w:val="none" w:sz="0" w:space="0" w:color="auto"/>
            <w:right w:val="none" w:sz="0" w:space="0" w:color="auto"/>
          </w:divBdr>
        </w:div>
        <w:div w:id="1877307977">
          <w:marLeft w:val="0"/>
          <w:marRight w:val="0"/>
          <w:marTop w:val="0"/>
          <w:marBottom w:val="0"/>
          <w:divBdr>
            <w:top w:val="none" w:sz="0" w:space="0" w:color="auto"/>
            <w:left w:val="none" w:sz="0" w:space="0" w:color="auto"/>
            <w:bottom w:val="none" w:sz="0" w:space="0" w:color="auto"/>
            <w:right w:val="none" w:sz="0" w:space="0" w:color="auto"/>
          </w:divBdr>
        </w:div>
        <w:div w:id="188568472">
          <w:marLeft w:val="0"/>
          <w:marRight w:val="0"/>
          <w:marTop w:val="0"/>
          <w:marBottom w:val="0"/>
          <w:divBdr>
            <w:top w:val="none" w:sz="0" w:space="0" w:color="auto"/>
            <w:left w:val="none" w:sz="0" w:space="0" w:color="auto"/>
            <w:bottom w:val="none" w:sz="0" w:space="0" w:color="auto"/>
            <w:right w:val="none" w:sz="0" w:space="0" w:color="auto"/>
          </w:divBdr>
        </w:div>
        <w:div w:id="512694153">
          <w:marLeft w:val="0"/>
          <w:marRight w:val="0"/>
          <w:marTop w:val="0"/>
          <w:marBottom w:val="0"/>
          <w:divBdr>
            <w:top w:val="none" w:sz="0" w:space="0" w:color="auto"/>
            <w:left w:val="none" w:sz="0" w:space="0" w:color="auto"/>
            <w:bottom w:val="none" w:sz="0" w:space="0" w:color="auto"/>
            <w:right w:val="none" w:sz="0" w:space="0" w:color="auto"/>
          </w:divBdr>
        </w:div>
      </w:divsChild>
    </w:div>
    <w:div w:id="1623145331">
      <w:bodyDiv w:val="1"/>
      <w:marLeft w:val="0"/>
      <w:marRight w:val="0"/>
      <w:marTop w:val="0"/>
      <w:marBottom w:val="0"/>
      <w:divBdr>
        <w:top w:val="none" w:sz="0" w:space="0" w:color="auto"/>
        <w:left w:val="none" w:sz="0" w:space="0" w:color="auto"/>
        <w:bottom w:val="none" w:sz="0" w:space="0" w:color="auto"/>
        <w:right w:val="none" w:sz="0" w:space="0" w:color="auto"/>
      </w:divBdr>
    </w:div>
    <w:div w:id="1638948642">
      <w:bodyDiv w:val="1"/>
      <w:marLeft w:val="0"/>
      <w:marRight w:val="0"/>
      <w:marTop w:val="0"/>
      <w:marBottom w:val="0"/>
      <w:divBdr>
        <w:top w:val="none" w:sz="0" w:space="0" w:color="auto"/>
        <w:left w:val="none" w:sz="0" w:space="0" w:color="auto"/>
        <w:bottom w:val="none" w:sz="0" w:space="0" w:color="auto"/>
        <w:right w:val="none" w:sz="0" w:space="0" w:color="auto"/>
      </w:divBdr>
    </w:div>
    <w:div w:id="1643269737">
      <w:bodyDiv w:val="1"/>
      <w:marLeft w:val="0"/>
      <w:marRight w:val="0"/>
      <w:marTop w:val="0"/>
      <w:marBottom w:val="0"/>
      <w:divBdr>
        <w:top w:val="none" w:sz="0" w:space="0" w:color="auto"/>
        <w:left w:val="none" w:sz="0" w:space="0" w:color="auto"/>
        <w:bottom w:val="none" w:sz="0" w:space="0" w:color="auto"/>
        <w:right w:val="none" w:sz="0" w:space="0" w:color="auto"/>
      </w:divBdr>
    </w:div>
    <w:div w:id="1649086677">
      <w:bodyDiv w:val="1"/>
      <w:marLeft w:val="0"/>
      <w:marRight w:val="0"/>
      <w:marTop w:val="0"/>
      <w:marBottom w:val="0"/>
      <w:divBdr>
        <w:top w:val="none" w:sz="0" w:space="0" w:color="auto"/>
        <w:left w:val="none" w:sz="0" w:space="0" w:color="auto"/>
        <w:bottom w:val="none" w:sz="0" w:space="0" w:color="auto"/>
        <w:right w:val="none" w:sz="0" w:space="0" w:color="auto"/>
      </w:divBdr>
    </w:div>
    <w:div w:id="1654211327">
      <w:bodyDiv w:val="1"/>
      <w:marLeft w:val="0"/>
      <w:marRight w:val="0"/>
      <w:marTop w:val="0"/>
      <w:marBottom w:val="0"/>
      <w:divBdr>
        <w:top w:val="none" w:sz="0" w:space="0" w:color="auto"/>
        <w:left w:val="none" w:sz="0" w:space="0" w:color="auto"/>
        <w:bottom w:val="none" w:sz="0" w:space="0" w:color="auto"/>
        <w:right w:val="none" w:sz="0" w:space="0" w:color="auto"/>
      </w:divBdr>
    </w:div>
    <w:div w:id="1658529452">
      <w:bodyDiv w:val="1"/>
      <w:marLeft w:val="0"/>
      <w:marRight w:val="0"/>
      <w:marTop w:val="0"/>
      <w:marBottom w:val="0"/>
      <w:divBdr>
        <w:top w:val="none" w:sz="0" w:space="0" w:color="auto"/>
        <w:left w:val="none" w:sz="0" w:space="0" w:color="auto"/>
        <w:bottom w:val="none" w:sz="0" w:space="0" w:color="auto"/>
        <w:right w:val="none" w:sz="0" w:space="0" w:color="auto"/>
      </w:divBdr>
    </w:div>
    <w:div w:id="1659917163">
      <w:bodyDiv w:val="1"/>
      <w:marLeft w:val="0"/>
      <w:marRight w:val="0"/>
      <w:marTop w:val="0"/>
      <w:marBottom w:val="0"/>
      <w:divBdr>
        <w:top w:val="none" w:sz="0" w:space="0" w:color="auto"/>
        <w:left w:val="none" w:sz="0" w:space="0" w:color="auto"/>
        <w:bottom w:val="none" w:sz="0" w:space="0" w:color="auto"/>
        <w:right w:val="none" w:sz="0" w:space="0" w:color="auto"/>
      </w:divBdr>
      <w:divsChild>
        <w:div w:id="1053700402">
          <w:marLeft w:val="0"/>
          <w:marRight w:val="0"/>
          <w:marTop w:val="0"/>
          <w:marBottom w:val="0"/>
          <w:divBdr>
            <w:top w:val="none" w:sz="0" w:space="0" w:color="auto"/>
            <w:left w:val="none" w:sz="0" w:space="0" w:color="auto"/>
            <w:bottom w:val="none" w:sz="0" w:space="0" w:color="auto"/>
            <w:right w:val="none" w:sz="0" w:space="0" w:color="auto"/>
          </w:divBdr>
          <w:divsChild>
            <w:div w:id="657342033">
              <w:marLeft w:val="0"/>
              <w:marRight w:val="0"/>
              <w:marTop w:val="0"/>
              <w:marBottom w:val="0"/>
              <w:divBdr>
                <w:top w:val="none" w:sz="0" w:space="0" w:color="auto"/>
                <w:left w:val="none" w:sz="0" w:space="0" w:color="auto"/>
                <w:bottom w:val="none" w:sz="0" w:space="0" w:color="auto"/>
                <w:right w:val="none" w:sz="0" w:space="0" w:color="auto"/>
              </w:divBdr>
              <w:divsChild>
                <w:div w:id="200359291">
                  <w:marLeft w:val="0"/>
                  <w:marRight w:val="0"/>
                  <w:marTop w:val="0"/>
                  <w:marBottom w:val="0"/>
                  <w:divBdr>
                    <w:top w:val="none" w:sz="0" w:space="0" w:color="auto"/>
                    <w:left w:val="none" w:sz="0" w:space="0" w:color="auto"/>
                    <w:bottom w:val="none" w:sz="0" w:space="0" w:color="auto"/>
                    <w:right w:val="none" w:sz="0" w:space="0" w:color="auto"/>
                  </w:divBdr>
                  <w:divsChild>
                    <w:div w:id="14913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315">
      <w:bodyDiv w:val="1"/>
      <w:marLeft w:val="0"/>
      <w:marRight w:val="0"/>
      <w:marTop w:val="0"/>
      <w:marBottom w:val="0"/>
      <w:divBdr>
        <w:top w:val="none" w:sz="0" w:space="0" w:color="auto"/>
        <w:left w:val="none" w:sz="0" w:space="0" w:color="auto"/>
        <w:bottom w:val="none" w:sz="0" w:space="0" w:color="auto"/>
        <w:right w:val="none" w:sz="0" w:space="0" w:color="auto"/>
      </w:divBdr>
    </w:div>
    <w:div w:id="1699426297">
      <w:bodyDiv w:val="1"/>
      <w:marLeft w:val="0"/>
      <w:marRight w:val="0"/>
      <w:marTop w:val="0"/>
      <w:marBottom w:val="0"/>
      <w:divBdr>
        <w:top w:val="none" w:sz="0" w:space="0" w:color="auto"/>
        <w:left w:val="none" w:sz="0" w:space="0" w:color="auto"/>
        <w:bottom w:val="none" w:sz="0" w:space="0" w:color="auto"/>
        <w:right w:val="none" w:sz="0" w:space="0" w:color="auto"/>
      </w:divBdr>
      <w:divsChild>
        <w:div w:id="222453182">
          <w:marLeft w:val="1050"/>
          <w:marRight w:val="0"/>
          <w:marTop w:val="0"/>
          <w:marBottom w:val="0"/>
          <w:divBdr>
            <w:top w:val="none" w:sz="0" w:space="0" w:color="auto"/>
            <w:left w:val="none" w:sz="0" w:space="0" w:color="auto"/>
            <w:bottom w:val="none" w:sz="0" w:space="0" w:color="auto"/>
            <w:right w:val="none" w:sz="0" w:space="0" w:color="auto"/>
          </w:divBdr>
        </w:div>
      </w:divsChild>
    </w:div>
    <w:div w:id="1704331148">
      <w:bodyDiv w:val="1"/>
      <w:marLeft w:val="0"/>
      <w:marRight w:val="0"/>
      <w:marTop w:val="0"/>
      <w:marBottom w:val="0"/>
      <w:divBdr>
        <w:top w:val="none" w:sz="0" w:space="0" w:color="auto"/>
        <w:left w:val="none" w:sz="0" w:space="0" w:color="auto"/>
        <w:bottom w:val="none" w:sz="0" w:space="0" w:color="auto"/>
        <w:right w:val="none" w:sz="0" w:space="0" w:color="auto"/>
      </w:divBdr>
    </w:div>
    <w:div w:id="1707564019">
      <w:bodyDiv w:val="1"/>
      <w:marLeft w:val="0"/>
      <w:marRight w:val="0"/>
      <w:marTop w:val="0"/>
      <w:marBottom w:val="0"/>
      <w:divBdr>
        <w:top w:val="none" w:sz="0" w:space="0" w:color="auto"/>
        <w:left w:val="none" w:sz="0" w:space="0" w:color="auto"/>
        <w:bottom w:val="none" w:sz="0" w:space="0" w:color="auto"/>
        <w:right w:val="none" w:sz="0" w:space="0" w:color="auto"/>
      </w:divBdr>
    </w:div>
    <w:div w:id="1709794647">
      <w:bodyDiv w:val="1"/>
      <w:marLeft w:val="0"/>
      <w:marRight w:val="0"/>
      <w:marTop w:val="0"/>
      <w:marBottom w:val="0"/>
      <w:divBdr>
        <w:top w:val="none" w:sz="0" w:space="0" w:color="auto"/>
        <w:left w:val="none" w:sz="0" w:space="0" w:color="auto"/>
        <w:bottom w:val="none" w:sz="0" w:space="0" w:color="auto"/>
        <w:right w:val="none" w:sz="0" w:space="0" w:color="auto"/>
      </w:divBdr>
    </w:div>
    <w:div w:id="1712682778">
      <w:bodyDiv w:val="1"/>
      <w:marLeft w:val="0"/>
      <w:marRight w:val="0"/>
      <w:marTop w:val="0"/>
      <w:marBottom w:val="0"/>
      <w:divBdr>
        <w:top w:val="none" w:sz="0" w:space="0" w:color="auto"/>
        <w:left w:val="none" w:sz="0" w:space="0" w:color="auto"/>
        <w:bottom w:val="none" w:sz="0" w:space="0" w:color="auto"/>
        <w:right w:val="none" w:sz="0" w:space="0" w:color="auto"/>
      </w:divBdr>
    </w:div>
    <w:div w:id="1713574884">
      <w:bodyDiv w:val="1"/>
      <w:marLeft w:val="0"/>
      <w:marRight w:val="0"/>
      <w:marTop w:val="0"/>
      <w:marBottom w:val="0"/>
      <w:divBdr>
        <w:top w:val="none" w:sz="0" w:space="0" w:color="auto"/>
        <w:left w:val="none" w:sz="0" w:space="0" w:color="auto"/>
        <w:bottom w:val="none" w:sz="0" w:space="0" w:color="auto"/>
        <w:right w:val="none" w:sz="0" w:space="0" w:color="auto"/>
      </w:divBdr>
    </w:div>
    <w:div w:id="1714574223">
      <w:bodyDiv w:val="1"/>
      <w:marLeft w:val="0"/>
      <w:marRight w:val="0"/>
      <w:marTop w:val="0"/>
      <w:marBottom w:val="0"/>
      <w:divBdr>
        <w:top w:val="none" w:sz="0" w:space="0" w:color="auto"/>
        <w:left w:val="none" w:sz="0" w:space="0" w:color="auto"/>
        <w:bottom w:val="none" w:sz="0" w:space="0" w:color="auto"/>
        <w:right w:val="none" w:sz="0" w:space="0" w:color="auto"/>
      </w:divBdr>
    </w:div>
    <w:div w:id="1725254309">
      <w:bodyDiv w:val="1"/>
      <w:marLeft w:val="0"/>
      <w:marRight w:val="0"/>
      <w:marTop w:val="0"/>
      <w:marBottom w:val="0"/>
      <w:divBdr>
        <w:top w:val="none" w:sz="0" w:space="0" w:color="auto"/>
        <w:left w:val="none" w:sz="0" w:space="0" w:color="auto"/>
        <w:bottom w:val="none" w:sz="0" w:space="0" w:color="auto"/>
        <w:right w:val="none" w:sz="0" w:space="0" w:color="auto"/>
      </w:divBdr>
    </w:div>
    <w:div w:id="1738046004">
      <w:bodyDiv w:val="1"/>
      <w:marLeft w:val="0"/>
      <w:marRight w:val="0"/>
      <w:marTop w:val="0"/>
      <w:marBottom w:val="0"/>
      <w:divBdr>
        <w:top w:val="none" w:sz="0" w:space="0" w:color="auto"/>
        <w:left w:val="none" w:sz="0" w:space="0" w:color="auto"/>
        <w:bottom w:val="none" w:sz="0" w:space="0" w:color="auto"/>
        <w:right w:val="none" w:sz="0" w:space="0" w:color="auto"/>
      </w:divBdr>
    </w:div>
    <w:div w:id="1751194896">
      <w:bodyDiv w:val="1"/>
      <w:marLeft w:val="0"/>
      <w:marRight w:val="0"/>
      <w:marTop w:val="0"/>
      <w:marBottom w:val="0"/>
      <w:divBdr>
        <w:top w:val="none" w:sz="0" w:space="0" w:color="auto"/>
        <w:left w:val="none" w:sz="0" w:space="0" w:color="auto"/>
        <w:bottom w:val="none" w:sz="0" w:space="0" w:color="auto"/>
        <w:right w:val="none" w:sz="0" w:space="0" w:color="auto"/>
      </w:divBdr>
    </w:div>
    <w:div w:id="1759598665">
      <w:bodyDiv w:val="1"/>
      <w:marLeft w:val="0"/>
      <w:marRight w:val="0"/>
      <w:marTop w:val="0"/>
      <w:marBottom w:val="0"/>
      <w:divBdr>
        <w:top w:val="none" w:sz="0" w:space="0" w:color="auto"/>
        <w:left w:val="none" w:sz="0" w:space="0" w:color="auto"/>
        <w:bottom w:val="none" w:sz="0" w:space="0" w:color="auto"/>
        <w:right w:val="none" w:sz="0" w:space="0" w:color="auto"/>
      </w:divBdr>
    </w:div>
    <w:div w:id="1776705759">
      <w:bodyDiv w:val="1"/>
      <w:marLeft w:val="0"/>
      <w:marRight w:val="0"/>
      <w:marTop w:val="0"/>
      <w:marBottom w:val="0"/>
      <w:divBdr>
        <w:top w:val="none" w:sz="0" w:space="0" w:color="auto"/>
        <w:left w:val="none" w:sz="0" w:space="0" w:color="auto"/>
        <w:bottom w:val="none" w:sz="0" w:space="0" w:color="auto"/>
        <w:right w:val="none" w:sz="0" w:space="0" w:color="auto"/>
      </w:divBdr>
    </w:div>
    <w:div w:id="1777942834">
      <w:bodyDiv w:val="1"/>
      <w:marLeft w:val="0"/>
      <w:marRight w:val="0"/>
      <w:marTop w:val="0"/>
      <w:marBottom w:val="0"/>
      <w:divBdr>
        <w:top w:val="none" w:sz="0" w:space="0" w:color="auto"/>
        <w:left w:val="none" w:sz="0" w:space="0" w:color="auto"/>
        <w:bottom w:val="none" w:sz="0" w:space="0" w:color="auto"/>
        <w:right w:val="none" w:sz="0" w:space="0" w:color="auto"/>
      </w:divBdr>
    </w:div>
    <w:div w:id="1789397776">
      <w:bodyDiv w:val="1"/>
      <w:marLeft w:val="0"/>
      <w:marRight w:val="0"/>
      <w:marTop w:val="0"/>
      <w:marBottom w:val="0"/>
      <w:divBdr>
        <w:top w:val="none" w:sz="0" w:space="0" w:color="auto"/>
        <w:left w:val="none" w:sz="0" w:space="0" w:color="auto"/>
        <w:bottom w:val="none" w:sz="0" w:space="0" w:color="auto"/>
        <w:right w:val="none" w:sz="0" w:space="0" w:color="auto"/>
      </w:divBdr>
    </w:div>
    <w:div w:id="1791318618">
      <w:bodyDiv w:val="1"/>
      <w:marLeft w:val="0"/>
      <w:marRight w:val="0"/>
      <w:marTop w:val="0"/>
      <w:marBottom w:val="0"/>
      <w:divBdr>
        <w:top w:val="none" w:sz="0" w:space="0" w:color="auto"/>
        <w:left w:val="none" w:sz="0" w:space="0" w:color="auto"/>
        <w:bottom w:val="none" w:sz="0" w:space="0" w:color="auto"/>
        <w:right w:val="none" w:sz="0" w:space="0" w:color="auto"/>
      </w:divBdr>
    </w:div>
    <w:div w:id="1791824026">
      <w:bodyDiv w:val="1"/>
      <w:marLeft w:val="0"/>
      <w:marRight w:val="0"/>
      <w:marTop w:val="0"/>
      <w:marBottom w:val="0"/>
      <w:divBdr>
        <w:top w:val="none" w:sz="0" w:space="0" w:color="auto"/>
        <w:left w:val="none" w:sz="0" w:space="0" w:color="auto"/>
        <w:bottom w:val="none" w:sz="0" w:space="0" w:color="auto"/>
        <w:right w:val="none" w:sz="0" w:space="0" w:color="auto"/>
      </w:divBdr>
    </w:div>
    <w:div w:id="1800340260">
      <w:bodyDiv w:val="1"/>
      <w:marLeft w:val="0"/>
      <w:marRight w:val="0"/>
      <w:marTop w:val="0"/>
      <w:marBottom w:val="0"/>
      <w:divBdr>
        <w:top w:val="none" w:sz="0" w:space="0" w:color="auto"/>
        <w:left w:val="none" w:sz="0" w:space="0" w:color="auto"/>
        <w:bottom w:val="none" w:sz="0" w:space="0" w:color="auto"/>
        <w:right w:val="none" w:sz="0" w:space="0" w:color="auto"/>
      </w:divBdr>
    </w:div>
    <w:div w:id="1804880734">
      <w:bodyDiv w:val="1"/>
      <w:marLeft w:val="0"/>
      <w:marRight w:val="0"/>
      <w:marTop w:val="0"/>
      <w:marBottom w:val="0"/>
      <w:divBdr>
        <w:top w:val="none" w:sz="0" w:space="0" w:color="auto"/>
        <w:left w:val="none" w:sz="0" w:space="0" w:color="auto"/>
        <w:bottom w:val="none" w:sz="0" w:space="0" w:color="auto"/>
        <w:right w:val="none" w:sz="0" w:space="0" w:color="auto"/>
      </w:divBdr>
    </w:div>
    <w:div w:id="1808627602">
      <w:bodyDiv w:val="1"/>
      <w:marLeft w:val="0"/>
      <w:marRight w:val="0"/>
      <w:marTop w:val="0"/>
      <w:marBottom w:val="0"/>
      <w:divBdr>
        <w:top w:val="none" w:sz="0" w:space="0" w:color="auto"/>
        <w:left w:val="none" w:sz="0" w:space="0" w:color="auto"/>
        <w:bottom w:val="none" w:sz="0" w:space="0" w:color="auto"/>
        <w:right w:val="none" w:sz="0" w:space="0" w:color="auto"/>
      </w:divBdr>
    </w:div>
    <w:div w:id="1809086493">
      <w:bodyDiv w:val="1"/>
      <w:marLeft w:val="0"/>
      <w:marRight w:val="0"/>
      <w:marTop w:val="0"/>
      <w:marBottom w:val="0"/>
      <w:divBdr>
        <w:top w:val="none" w:sz="0" w:space="0" w:color="auto"/>
        <w:left w:val="none" w:sz="0" w:space="0" w:color="auto"/>
        <w:bottom w:val="none" w:sz="0" w:space="0" w:color="auto"/>
        <w:right w:val="none" w:sz="0" w:space="0" w:color="auto"/>
      </w:divBdr>
    </w:div>
    <w:div w:id="1811900267">
      <w:bodyDiv w:val="1"/>
      <w:marLeft w:val="0"/>
      <w:marRight w:val="0"/>
      <w:marTop w:val="0"/>
      <w:marBottom w:val="0"/>
      <w:divBdr>
        <w:top w:val="none" w:sz="0" w:space="0" w:color="auto"/>
        <w:left w:val="none" w:sz="0" w:space="0" w:color="auto"/>
        <w:bottom w:val="none" w:sz="0" w:space="0" w:color="auto"/>
        <w:right w:val="none" w:sz="0" w:space="0" w:color="auto"/>
      </w:divBdr>
    </w:div>
    <w:div w:id="1815559783">
      <w:bodyDiv w:val="1"/>
      <w:marLeft w:val="0"/>
      <w:marRight w:val="0"/>
      <w:marTop w:val="0"/>
      <w:marBottom w:val="0"/>
      <w:divBdr>
        <w:top w:val="none" w:sz="0" w:space="0" w:color="auto"/>
        <w:left w:val="none" w:sz="0" w:space="0" w:color="auto"/>
        <w:bottom w:val="none" w:sz="0" w:space="0" w:color="auto"/>
        <w:right w:val="none" w:sz="0" w:space="0" w:color="auto"/>
      </w:divBdr>
    </w:div>
    <w:div w:id="1820804816">
      <w:bodyDiv w:val="1"/>
      <w:marLeft w:val="0"/>
      <w:marRight w:val="0"/>
      <w:marTop w:val="0"/>
      <w:marBottom w:val="0"/>
      <w:divBdr>
        <w:top w:val="none" w:sz="0" w:space="0" w:color="auto"/>
        <w:left w:val="none" w:sz="0" w:space="0" w:color="auto"/>
        <w:bottom w:val="none" w:sz="0" w:space="0" w:color="auto"/>
        <w:right w:val="none" w:sz="0" w:space="0" w:color="auto"/>
      </w:divBdr>
    </w:div>
    <w:div w:id="1828202414">
      <w:bodyDiv w:val="1"/>
      <w:marLeft w:val="0"/>
      <w:marRight w:val="0"/>
      <w:marTop w:val="0"/>
      <w:marBottom w:val="0"/>
      <w:divBdr>
        <w:top w:val="none" w:sz="0" w:space="0" w:color="auto"/>
        <w:left w:val="none" w:sz="0" w:space="0" w:color="auto"/>
        <w:bottom w:val="none" w:sz="0" w:space="0" w:color="auto"/>
        <w:right w:val="none" w:sz="0" w:space="0" w:color="auto"/>
      </w:divBdr>
    </w:div>
    <w:div w:id="1829638062">
      <w:bodyDiv w:val="1"/>
      <w:marLeft w:val="0"/>
      <w:marRight w:val="0"/>
      <w:marTop w:val="0"/>
      <w:marBottom w:val="0"/>
      <w:divBdr>
        <w:top w:val="none" w:sz="0" w:space="0" w:color="auto"/>
        <w:left w:val="none" w:sz="0" w:space="0" w:color="auto"/>
        <w:bottom w:val="none" w:sz="0" w:space="0" w:color="auto"/>
        <w:right w:val="none" w:sz="0" w:space="0" w:color="auto"/>
      </w:divBdr>
    </w:div>
    <w:div w:id="1835023680">
      <w:bodyDiv w:val="1"/>
      <w:marLeft w:val="0"/>
      <w:marRight w:val="0"/>
      <w:marTop w:val="0"/>
      <w:marBottom w:val="0"/>
      <w:divBdr>
        <w:top w:val="none" w:sz="0" w:space="0" w:color="auto"/>
        <w:left w:val="none" w:sz="0" w:space="0" w:color="auto"/>
        <w:bottom w:val="none" w:sz="0" w:space="0" w:color="auto"/>
        <w:right w:val="none" w:sz="0" w:space="0" w:color="auto"/>
      </w:divBdr>
    </w:div>
    <w:div w:id="1837571212">
      <w:bodyDiv w:val="1"/>
      <w:marLeft w:val="0"/>
      <w:marRight w:val="0"/>
      <w:marTop w:val="0"/>
      <w:marBottom w:val="0"/>
      <w:divBdr>
        <w:top w:val="none" w:sz="0" w:space="0" w:color="auto"/>
        <w:left w:val="none" w:sz="0" w:space="0" w:color="auto"/>
        <w:bottom w:val="none" w:sz="0" w:space="0" w:color="auto"/>
        <w:right w:val="none" w:sz="0" w:space="0" w:color="auto"/>
      </w:divBdr>
    </w:div>
    <w:div w:id="1846901085">
      <w:bodyDiv w:val="1"/>
      <w:marLeft w:val="0"/>
      <w:marRight w:val="0"/>
      <w:marTop w:val="0"/>
      <w:marBottom w:val="0"/>
      <w:divBdr>
        <w:top w:val="none" w:sz="0" w:space="0" w:color="auto"/>
        <w:left w:val="none" w:sz="0" w:space="0" w:color="auto"/>
        <w:bottom w:val="none" w:sz="0" w:space="0" w:color="auto"/>
        <w:right w:val="none" w:sz="0" w:space="0" w:color="auto"/>
      </w:divBdr>
    </w:div>
    <w:div w:id="1849369418">
      <w:bodyDiv w:val="1"/>
      <w:marLeft w:val="0"/>
      <w:marRight w:val="0"/>
      <w:marTop w:val="0"/>
      <w:marBottom w:val="0"/>
      <w:divBdr>
        <w:top w:val="none" w:sz="0" w:space="0" w:color="auto"/>
        <w:left w:val="none" w:sz="0" w:space="0" w:color="auto"/>
        <w:bottom w:val="none" w:sz="0" w:space="0" w:color="auto"/>
        <w:right w:val="none" w:sz="0" w:space="0" w:color="auto"/>
      </w:divBdr>
    </w:div>
    <w:div w:id="1853645751">
      <w:bodyDiv w:val="1"/>
      <w:marLeft w:val="0"/>
      <w:marRight w:val="0"/>
      <w:marTop w:val="0"/>
      <w:marBottom w:val="0"/>
      <w:divBdr>
        <w:top w:val="none" w:sz="0" w:space="0" w:color="auto"/>
        <w:left w:val="none" w:sz="0" w:space="0" w:color="auto"/>
        <w:bottom w:val="none" w:sz="0" w:space="0" w:color="auto"/>
        <w:right w:val="none" w:sz="0" w:space="0" w:color="auto"/>
      </w:divBdr>
    </w:div>
    <w:div w:id="1859468092">
      <w:bodyDiv w:val="1"/>
      <w:marLeft w:val="0"/>
      <w:marRight w:val="0"/>
      <w:marTop w:val="0"/>
      <w:marBottom w:val="0"/>
      <w:divBdr>
        <w:top w:val="none" w:sz="0" w:space="0" w:color="auto"/>
        <w:left w:val="none" w:sz="0" w:space="0" w:color="auto"/>
        <w:bottom w:val="none" w:sz="0" w:space="0" w:color="auto"/>
        <w:right w:val="none" w:sz="0" w:space="0" w:color="auto"/>
      </w:divBdr>
    </w:div>
    <w:div w:id="1859808763">
      <w:bodyDiv w:val="1"/>
      <w:marLeft w:val="0"/>
      <w:marRight w:val="0"/>
      <w:marTop w:val="0"/>
      <w:marBottom w:val="0"/>
      <w:divBdr>
        <w:top w:val="none" w:sz="0" w:space="0" w:color="auto"/>
        <w:left w:val="none" w:sz="0" w:space="0" w:color="auto"/>
        <w:bottom w:val="none" w:sz="0" w:space="0" w:color="auto"/>
        <w:right w:val="none" w:sz="0" w:space="0" w:color="auto"/>
      </w:divBdr>
    </w:div>
    <w:div w:id="1867719731">
      <w:bodyDiv w:val="1"/>
      <w:marLeft w:val="0"/>
      <w:marRight w:val="0"/>
      <w:marTop w:val="0"/>
      <w:marBottom w:val="0"/>
      <w:divBdr>
        <w:top w:val="none" w:sz="0" w:space="0" w:color="auto"/>
        <w:left w:val="none" w:sz="0" w:space="0" w:color="auto"/>
        <w:bottom w:val="none" w:sz="0" w:space="0" w:color="auto"/>
        <w:right w:val="none" w:sz="0" w:space="0" w:color="auto"/>
      </w:divBdr>
    </w:div>
    <w:div w:id="1872259775">
      <w:bodyDiv w:val="1"/>
      <w:marLeft w:val="0"/>
      <w:marRight w:val="0"/>
      <w:marTop w:val="0"/>
      <w:marBottom w:val="0"/>
      <w:divBdr>
        <w:top w:val="none" w:sz="0" w:space="0" w:color="auto"/>
        <w:left w:val="none" w:sz="0" w:space="0" w:color="auto"/>
        <w:bottom w:val="none" w:sz="0" w:space="0" w:color="auto"/>
        <w:right w:val="none" w:sz="0" w:space="0" w:color="auto"/>
      </w:divBdr>
    </w:div>
    <w:div w:id="1877814634">
      <w:bodyDiv w:val="1"/>
      <w:marLeft w:val="0"/>
      <w:marRight w:val="0"/>
      <w:marTop w:val="0"/>
      <w:marBottom w:val="0"/>
      <w:divBdr>
        <w:top w:val="none" w:sz="0" w:space="0" w:color="auto"/>
        <w:left w:val="none" w:sz="0" w:space="0" w:color="auto"/>
        <w:bottom w:val="none" w:sz="0" w:space="0" w:color="auto"/>
        <w:right w:val="none" w:sz="0" w:space="0" w:color="auto"/>
      </w:divBdr>
      <w:divsChild>
        <w:div w:id="419912743">
          <w:marLeft w:val="0"/>
          <w:marRight w:val="0"/>
          <w:marTop w:val="0"/>
          <w:marBottom w:val="0"/>
          <w:divBdr>
            <w:top w:val="none" w:sz="0" w:space="0" w:color="auto"/>
            <w:left w:val="none" w:sz="0" w:space="0" w:color="auto"/>
            <w:bottom w:val="none" w:sz="0" w:space="0" w:color="auto"/>
            <w:right w:val="none" w:sz="0" w:space="0" w:color="auto"/>
          </w:divBdr>
          <w:divsChild>
            <w:div w:id="1476411667">
              <w:marLeft w:val="0"/>
              <w:marRight w:val="0"/>
              <w:marTop w:val="0"/>
              <w:marBottom w:val="0"/>
              <w:divBdr>
                <w:top w:val="none" w:sz="0" w:space="0" w:color="auto"/>
                <w:left w:val="none" w:sz="0" w:space="0" w:color="auto"/>
                <w:bottom w:val="none" w:sz="0" w:space="0" w:color="auto"/>
                <w:right w:val="none" w:sz="0" w:space="0" w:color="auto"/>
              </w:divBdr>
              <w:divsChild>
                <w:div w:id="404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334">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90261123">
      <w:bodyDiv w:val="1"/>
      <w:marLeft w:val="0"/>
      <w:marRight w:val="0"/>
      <w:marTop w:val="0"/>
      <w:marBottom w:val="0"/>
      <w:divBdr>
        <w:top w:val="none" w:sz="0" w:space="0" w:color="auto"/>
        <w:left w:val="none" w:sz="0" w:space="0" w:color="auto"/>
        <w:bottom w:val="none" w:sz="0" w:space="0" w:color="auto"/>
        <w:right w:val="none" w:sz="0" w:space="0" w:color="auto"/>
      </w:divBdr>
    </w:div>
    <w:div w:id="1898198465">
      <w:bodyDiv w:val="1"/>
      <w:marLeft w:val="0"/>
      <w:marRight w:val="0"/>
      <w:marTop w:val="0"/>
      <w:marBottom w:val="0"/>
      <w:divBdr>
        <w:top w:val="none" w:sz="0" w:space="0" w:color="auto"/>
        <w:left w:val="none" w:sz="0" w:space="0" w:color="auto"/>
        <w:bottom w:val="none" w:sz="0" w:space="0" w:color="auto"/>
        <w:right w:val="none" w:sz="0" w:space="0" w:color="auto"/>
      </w:divBdr>
    </w:div>
    <w:div w:id="1901092671">
      <w:bodyDiv w:val="1"/>
      <w:marLeft w:val="0"/>
      <w:marRight w:val="0"/>
      <w:marTop w:val="0"/>
      <w:marBottom w:val="0"/>
      <w:divBdr>
        <w:top w:val="none" w:sz="0" w:space="0" w:color="auto"/>
        <w:left w:val="none" w:sz="0" w:space="0" w:color="auto"/>
        <w:bottom w:val="none" w:sz="0" w:space="0" w:color="auto"/>
        <w:right w:val="none" w:sz="0" w:space="0" w:color="auto"/>
      </w:divBdr>
    </w:div>
    <w:div w:id="1903179375">
      <w:bodyDiv w:val="1"/>
      <w:marLeft w:val="0"/>
      <w:marRight w:val="0"/>
      <w:marTop w:val="0"/>
      <w:marBottom w:val="0"/>
      <w:divBdr>
        <w:top w:val="none" w:sz="0" w:space="0" w:color="auto"/>
        <w:left w:val="none" w:sz="0" w:space="0" w:color="auto"/>
        <w:bottom w:val="none" w:sz="0" w:space="0" w:color="auto"/>
        <w:right w:val="none" w:sz="0" w:space="0" w:color="auto"/>
      </w:divBdr>
      <w:divsChild>
        <w:div w:id="574902601">
          <w:marLeft w:val="0"/>
          <w:marRight w:val="0"/>
          <w:marTop w:val="0"/>
          <w:marBottom w:val="0"/>
          <w:divBdr>
            <w:top w:val="none" w:sz="0" w:space="0" w:color="auto"/>
            <w:left w:val="none" w:sz="0" w:space="0" w:color="auto"/>
            <w:bottom w:val="none" w:sz="0" w:space="0" w:color="auto"/>
            <w:right w:val="none" w:sz="0" w:space="0" w:color="auto"/>
          </w:divBdr>
          <w:divsChild>
            <w:div w:id="1149710337">
              <w:marLeft w:val="0"/>
              <w:marRight w:val="0"/>
              <w:marTop w:val="0"/>
              <w:marBottom w:val="0"/>
              <w:divBdr>
                <w:top w:val="none" w:sz="0" w:space="0" w:color="auto"/>
                <w:left w:val="none" w:sz="0" w:space="0" w:color="auto"/>
                <w:bottom w:val="none" w:sz="0" w:space="0" w:color="auto"/>
                <w:right w:val="none" w:sz="0" w:space="0" w:color="auto"/>
              </w:divBdr>
              <w:divsChild>
                <w:div w:id="2352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7490">
      <w:bodyDiv w:val="1"/>
      <w:marLeft w:val="0"/>
      <w:marRight w:val="0"/>
      <w:marTop w:val="0"/>
      <w:marBottom w:val="0"/>
      <w:divBdr>
        <w:top w:val="none" w:sz="0" w:space="0" w:color="auto"/>
        <w:left w:val="none" w:sz="0" w:space="0" w:color="auto"/>
        <w:bottom w:val="none" w:sz="0" w:space="0" w:color="auto"/>
        <w:right w:val="none" w:sz="0" w:space="0" w:color="auto"/>
      </w:divBdr>
    </w:div>
    <w:div w:id="1930038162">
      <w:bodyDiv w:val="1"/>
      <w:marLeft w:val="0"/>
      <w:marRight w:val="0"/>
      <w:marTop w:val="0"/>
      <w:marBottom w:val="0"/>
      <w:divBdr>
        <w:top w:val="none" w:sz="0" w:space="0" w:color="auto"/>
        <w:left w:val="none" w:sz="0" w:space="0" w:color="auto"/>
        <w:bottom w:val="none" w:sz="0" w:space="0" w:color="auto"/>
        <w:right w:val="none" w:sz="0" w:space="0" w:color="auto"/>
      </w:divBdr>
    </w:div>
    <w:div w:id="1938321738">
      <w:bodyDiv w:val="1"/>
      <w:marLeft w:val="0"/>
      <w:marRight w:val="0"/>
      <w:marTop w:val="0"/>
      <w:marBottom w:val="0"/>
      <w:divBdr>
        <w:top w:val="none" w:sz="0" w:space="0" w:color="auto"/>
        <w:left w:val="none" w:sz="0" w:space="0" w:color="auto"/>
        <w:bottom w:val="none" w:sz="0" w:space="0" w:color="auto"/>
        <w:right w:val="none" w:sz="0" w:space="0" w:color="auto"/>
      </w:divBdr>
      <w:divsChild>
        <w:div w:id="313724755">
          <w:marLeft w:val="0"/>
          <w:marRight w:val="0"/>
          <w:marTop w:val="0"/>
          <w:marBottom w:val="0"/>
          <w:divBdr>
            <w:top w:val="none" w:sz="0" w:space="0" w:color="auto"/>
            <w:left w:val="none" w:sz="0" w:space="0" w:color="auto"/>
            <w:bottom w:val="none" w:sz="0" w:space="0" w:color="auto"/>
            <w:right w:val="none" w:sz="0" w:space="0" w:color="auto"/>
          </w:divBdr>
          <w:divsChild>
            <w:div w:id="130754063">
              <w:marLeft w:val="0"/>
              <w:marRight w:val="0"/>
              <w:marTop w:val="0"/>
              <w:marBottom w:val="0"/>
              <w:divBdr>
                <w:top w:val="none" w:sz="0" w:space="0" w:color="auto"/>
                <w:left w:val="none" w:sz="0" w:space="0" w:color="auto"/>
                <w:bottom w:val="none" w:sz="0" w:space="0" w:color="auto"/>
                <w:right w:val="none" w:sz="0" w:space="0" w:color="auto"/>
              </w:divBdr>
              <w:divsChild>
                <w:div w:id="17278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996">
      <w:bodyDiv w:val="1"/>
      <w:marLeft w:val="0"/>
      <w:marRight w:val="0"/>
      <w:marTop w:val="0"/>
      <w:marBottom w:val="0"/>
      <w:divBdr>
        <w:top w:val="none" w:sz="0" w:space="0" w:color="auto"/>
        <w:left w:val="none" w:sz="0" w:space="0" w:color="auto"/>
        <w:bottom w:val="none" w:sz="0" w:space="0" w:color="auto"/>
        <w:right w:val="none" w:sz="0" w:space="0" w:color="auto"/>
      </w:divBdr>
      <w:divsChild>
        <w:div w:id="1093478386">
          <w:marLeft w:val="0"/>
          <w:marRight w:val="0"/>
          <w:marTop w:val="0"/>
          <w:marBottom w:val="0"/>
          <w:divBdr>
            <w:top w:val="none" w:sz="0" w:space="0" w:color="auto"/>
            <w:left w:val="none" w:sz="0" w:space="0" w:color="auto"/>
            <w:bottom w:val="none" w:sz="0" w:space="0" w:color="auto"/>
            <w:right w:val="none" w:sz="0" w:space="0" w:color="auto"/>
          </w:divBdr>
          <w:divsChild>
            <w:div w:id="60906014">
              <w:marLeft w:val="0"/>
              <w:marRight w:val="0"/>
              <w:marTop w:val="0"/>
              <w:marBottom w:val="0"/>
              <w:divBdr>
                <w:top w:val="none" w:sz="0" w:space="0" w:color="auto"/>
                <w:left w:val="none" w:sz="0" w:space="0" w:color="auto"/>
                <w:bottom w:val="none" w:sz="0" w:space="0" w:color="auto"/>
                <w:right w:val="none" w:sz="0" w:space="0" w:color="auto"/>
              </w:divBdr>
              <w:divsChild>
                <w:div w:id="1688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025">
      <w:bodyDiv w:val="1"/>
      <w:marLeft w:val="0"/>
      <w:marRight w:val="0"/>
      <w:marTop w:val="0"/>
      <w:marBottom w:val="0"/>
      <w:divBdr>
        <w:top w:val="none" w:sz="0" w:space="0" w:color="auto"/>
        <w:left w:val="none" w:sz="0" w:space="0" w:color="auto"/>
        <w:bottom w:val="none" w:sz="0" w:space="0" w:color="auto"/>
        <w:right w:val="none" w:sz="0" w:space="0" w:color="auto"/>
      </w:divBdr>
    </w:div>
    <w:div w:id="1950812457">
      <w:bodyDiv w:val="1"/>
      <w:marLeft w:val="0"/>
      <w:marRight w:val="0"/>
      <w:marTop w:val="0"/>
      <w:marBottom w:val="0"/>
      <w:divBdr>
        <w:top w:val="none" w:sz="0" w:space="0" w:color="auto"/>
        <w:left w:val="none" w:sz="0" w:space="0" w:color="auto"/>
        <w:bottom w:val="none" w:sz="0" w:space="0" w:color="auto"/>
        <w:right w:val="none" w:sz="0" w:space="0" w:color="auto"/>
      </w:divBdr>
    </w:div>
    <w:div w:id="1956862193">
      <w:bodyDiv w:val="1"/>
      <w:marLeft w:val="0"/>
      <w:marRight w:val="0"/>
      <w:marTop w:val="0"/>
      <w:marBottom w:val="0"/>
      <w:divBdr>
        <w:top w:val="none" w:sz="0" w:space="0" w:color="auto"/>
        <w:left w:val="none" w:sz="0" w:space="0" w:color="auto"/>
        <w:bottom w:val="none" w:sz="0" w:space="0" w:color="auto"/>
        <w:right w:val="none" w:sz="0" w:space="0" w:color="auto"/>
      </w:divBdr>
    </w:div>
    <w:div w:id="1960530769">
      <w:bodyDiv w:val="1"/>
      <w:marLeft w:val="0"/>
      <w:marRight w:val="0"/>
      <w:marTop w:val="0"/>
      <w:marBottom w:val="0"/>
      <w:divBdr>
        <w:top w:val="none" w:sz="0" w:space="0" w:color="auto"/>
        <w:left w:val="none" w:sz="0" w:space="0" w:color="auto"/>
        <w:bottom w:val="none" w:sz="0" w:space="0" w:color="auto"/>
        <w:right w:val="none" w:sz="0" w:space="0" w:color="auto"/>
      </w:divBdr>
    </w:div>
    <w:div w:id="1962301566">
      <w:bodyDiv w:val="1"/>
      <w:marLeft w:val="0"/>
      <w:marRight w:val="0"/>
      <w:marTop w:val="0"/>
      <w:marBottom w:val="0"/>
      <w:divBdr>
        <w:top w:val="none" w:sz="0" w:space="0" w:color="auto"/>
        <w:left w:val="none" w:sz="0" w:space="0" w:color="auto"/>
        <w:bottom w:val="none" w:sz="0" w:space="0" w:color="auto"/>
        <w:right w:val="none" w:sz="0" w:space="0" w:color="auto"/>
      </w:divBdr>
    </w:div>
    <w:div w:id="1971787647">
      <w:bodyDiv w:val="1"/>
      <w:marLeft w:val="0"/>
      <w:marRight w:val="0"/>
      <w:marTop w:val="0"/>
      <w:marBottom w:val="0"/>
      <w:divBdr>
        <w:top w:val="none" w:sz="0" w:space="0" w:color="auto"/>
        <w:left w:val="none" w:sz="0" w:space="0" w:color="auto"/>
        <w:bottom w:val="none" w:sz="0" w:space="0" w:color="auto"/>
        <w:right w:val="none" w:sz="0" w:space="0" w:color="auto"/>
      </w:divBdr>
    </w:div>
    <w:div w:id="1972248095">
      <w:bodyDiv w:val="1"/>
      <w:marLeft w:val="0"/>
      <w:marRight w:val="0"/>
      <w:marTop w:val="0"/>
      <w:marBottom w:val="0"/>
      <w:divBdr>
        <w:top w:val="none" w:sz="0" w:space="0" w:color="auto"/>
        <w:left w:val="none" w:sz="0" w:space="0" w:color="auto"/>
        <w:bottom w:val="none" w:sz="0" w:space="0" w:color="auto"/>
        <w:right w:val="none" w:sz="0" w:space="0" w:color="auto"/>
      </w:divBdr>
    </w:div>
    <w:div w:id="1982150107">
      <w:bodyDiv w:val="1"/>
      <w:marLeft w:val="0"/>
      <w:marRight w:val="0"/>
      <w:marTop w:val="0"/>
      <w:marBottom w:val="0"/>
      <w:divBdr>
        <w:top w:val="none" w:sz="0" w:space="0" w:color="auto"/>
        <w:left w:val="none" w:sz="0" w:space="0" w:color="auto"/>
        <w:bottom w:val="none" w:sz="0" w:space="0" w:color="auto"/>
        <w:right w:val="none" w:sz="0" w:space="0" w:color="auto"/>
      </w:divBdr>
    </w:div>
    <w:div w:id="1990940569">
      <w:bodyDiv w:val="1"/>
      <w:marLeft w:val="0"/>
      <w:marRight w:val="0"/>
      <w:marTop w:val="0"/>
      <w:marBottom w:val="0"/>
      <w:divBdr>
        <w:top w:val="none" w:sz="0" w:space="0" w:color="auto"/>
        <w:left w:val="none" w:sz="0" w:space="0" w:color="auto"/>
        <w:bottom w:val="none" w:sz="0" w:space="0" w:color="auto"/>
        <w:right w:val="none" w:sz="0" w:space="0" w:color="auto"/>
      </w:divBdr>
      <w:divsChild>
        <w:div w:id="694576852">
          <w:marLeft w:val="0"/>
          <w:marRight w:val="0"/>
          <w:marTop w:val="0"/>
          <w:marBottom w:val="0"/>
          <w:divBdr>
            <w:top w:val="none" w:sz="0" w:space="0" w:color="auto"/>
            <w:left w:val="none" w:sz="0" w:space="0" w:color="auto"/>
            <w:bottom w:val="none" w:sz="0" w:space="0" w:color="auto"/>
            <w:right w:val="none" w:sz="0" w:space="0" w:color="auto"/>
          </w:divBdr>
          <w:divsChild>
            <w:div w:id="607541756">
              <w:marLeft w:val="0"/>
              <w:marRight w:val="0"/>
              <w:marTop w:val="0"/>
              <w:marBottom w:val="0"/>
              <w:divBdr>
                <w:top w:val="none" w:sz="0" w:space="0" w:color="auto"/>
                <w:left w:val="none" w:sz="0" w:space="0" w:color="auto"/>
                <w:bottom w:val="none" w:sz="0" w:space="0" w:color="auto"/>
                <w:right w:val="none" w:sz="0" w:space="0" w:color="auto"/>
              </w:divBdr>
              <w:divsChild>
                <w:div w:id="13575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503">
      <w:bodyDiv w:val="1"/>
      <w:marLeft w:val="0"/>
      <w:marRight w:val="0"/>
      <w:marTop w:val="0"/>
      <w:marBottom w:val="0"/>
      <w:divBdr>
        <w:top w:val="none" w:sz="0" w:space="0" w:color="auto"/>
        <w:left w:val="none" w:sz="0" w:space="0" w:color="auto"/>
        <w:bottom w:val="none" w:sz="0" w:space="0" w:color="auto"/>
        <w:right w:val="none" w:sz="0" w:space="0" w:color="auto"/>
      </w:divBdr>
    </w:div>
    <w:div w:id="1995982722">
      <w:bodyDiv w:val="1"/>
      <w:marLeft w:val="0"/>
      <w:marRight w:val="0"/>
      <w:marTop w:val="0"/>
      <w:marBottom w:val="0"/>
      <w:divBdr>
        <w:top w:val="none" w:sz="0" w:space="0" w:color="auto"/>
        <w:left w:val="none" w:sz="0" w:space="0" w:color="auto"/>
        <w:bottom w:val="none" w:sz="0" w:space="0" w:color="auto"/>
        <w:right w:val="none" w:sz="0" w:space="0" w:color="auto"/>
      </w:divBdr>
    </w:div>
    <w:div w:id="2002537948">
      <w:bodyDiv w:val="1"/>
      <w:marLeft w:val="0"/>
      <w:marRight w:val="0"/>
      <w:marTop w:val="0"/>
      <w:marBottom w:val="0"/>
      <w:divBdr>
        <w:top w:val="none" w:sz="0" w:space="0" w:color="auto"/>
        <w:left w:val="none" w:sz="0" w:space="0" w:color="auto"/>
        <w:bottom w:val="none" w:sz="0" w:space="0" w:color="auto"/>
        <w:right w:val="none" w:sz="0" w:space="0" w:color="auto"/>
      </w:divBdr>
      <w:divsChild>
        <w:div w:id="205259817">
          <w:marLeft w:val="0"/>
          <w:marRight w:val="0"/>
          <w:marTop w:val="0"/>
          <w:marBottom w:val="0"/>
          <w:divBdr>
            <w:top w:val="none" w:sz="0" w:space="0" w:color="auto"/>
            <w:left w:val="none" w:sz="0" w:space="0" w:color="auto"/>
            <w:bottom w:val="none" w:sz="0" w:space="0" w:color="auto"/>
            <w:right w:val="none" w:sz="0" w:space="0" w:color="auto"/>
          </w:divBdr>
        </w:div>
        <w:div w:id="536968587">
          <w:marLeft w:val="0"/>
          <w:marRight w:val="0"/>
          <w:marTop w:val="0"/>
          <w:marBottom w:val="0"/>
          <w:divBdr>
            <w:top w:val="none" w:sz="0" w:space="0" w:color="auto"/>
            <w:left w:val="none" w:sz="0" w:space="0" w:color="auto"/>
            <w:bottom w:val="none" w:sz="0" w:space="0" w:color="auto"/>
            <w:right w:val="none" w:sz="0" w:space="0" w:color="auto"/>
          </w:divBdr>
        </w:div>
      </w:divsChild>
    </w:div>
    <w:div w:id="2015260304">
      <w:bodyDiv w:val="1"/>
      <w:marLeft w:val="0"/>
      <w:marRight w:val="0"/>
      <w:marTop w:val="0"/>
      <w:marBottom w:val="0"/>
      <w:divBdr>
        <w:top w:val="none" w:sz="0" w:space="0" w:color="auto"/>
        <w:left w:val="none" w:sz="0" w:space="0" w:color="auto"/>
        <w:bottom w:val="none" w:sz="0" w:space="0" w:color="auto"/>
        <w:right w:val="none" w:sz="0" w:space="0" w:color="auto"/>
      </w:divBdr>
    </w:div>
    <w:div w:id="2018993987">
      <w:bodyDiv w:val="1"/>
      <w:marLeft w:val="0"/>
      <w:marRight w:val="0"/>
      <w:marTop w:val="0"/>
      <w:marBottom w:val="0"/>
      <w:divBdr>
        <w:top w:val="none" w:sz="0" w:space="0" w:color="auto"/>
        <w:left w:val="none" w:sz="0" w:space="0" w:color="auto"/>
        <w:bottom w:val="none" w:sz="0" w:space="0" w:color="auto"/>
        <w:right w:val="none" w:sz="0" w:space="0" w:color="auto"/>
      </w:divBdr>
    </w:div>
    <w:div w:id="2031569492">
      <w:bodyDiv w:val="1"/>
      <w:marLeft w:val="0"/>
      <w:marRight w:val="0"/>
      <w:marTop w:val="0"/>
      <w:marBottom w:val="0"/>
      <w:divBdr>
        <w:top w:val="none" w:sz="0" w:space="0" w:color="auto"/>
        <w:left w:val="none" w:sz="0" w:space="0" w:color="auto"/>
        <w:bottom w:val="none" w:sz="0" w:space="0" w:color="auto"/>
        <w:right w:val="none" w:sz="0" w:space="0" w:color="auto"/>
      </w:divBdr>
    </w:div>
    <w:div w:id="2048025961">
      <w:bodyDiv w:val="1"/>
      <w:marLeft w:val="0"/>
      <w:marRight w:val="0"/>
      <w:marTop w:val="0"/>
      <w:marBottom w:val="0"/>
      <w:divBdr>
        <w:top w:val="none" w:sz="0" w:space="0" w:color="auto"/>
        <w:left w:val="none" w:sz="0" w:space="0" w:color="auto"/>
        <w:bottom w:val="none" w:sz="0" w:space="0" w:color="auto"/>
        <w:right w:val="none" w:sz="0" w:space="0" w:color="auto"/>
      </w:divBdr>
    </w:div>
    <w:div w:id="2050228732">
      <w:bodyDiv w:val="1"/>
      <w:marLeft w:val="0"/>
      <w:marRight w:val="0"/>
      <w:marTop w:val="0"/>
      <w:marBottom w:val="0"/>
      <w:divBdr>
        <w:top w:val="none" w:sz="0" w:space="0" w:color="auto"/>
        <w:left w:val="none" w:sz="0" w:space="0" w:color="auto"/>
        <w:bottom w:val="none" w:sz="0" w:space="0" w:color="auto"/>
        <w:right w:val="none" w:sz="0" w:space="0" w:color="auto"/>
      </w:divBdr>
    </w:div>
    <w:div w:id="2055689800">
      <w:bodyDiv w:val="1"/>
      <w:marLeft w:val="0"/>
      <w:marRight w:val="0"/>
      <w:marTop w:val="0"/>
      <w:marBottom w:val="0"/>
      <w:divBdr>
        <w:top w:val="none" w:sz="0" w:space="0" w:color="auto"/>
        <w:left w:val="none" w:sz="0" w:space="0" w:color="auto"/>
        <w:bottom w:val="none" w:sz="0" w:space="0" w:color="auto"/>
        <w:right w:val="none" w:sz="0" w:space="0" w:color="auto"/>
      </w:divBdr>
    </w:div>
    <w:div w:id="2056814380">
      <w:bodyDiv w:val="1"/>
      <w:marLeft w:val="0"/>
      <w:marRight w:val="0"/>
      <w:marTop w:val="0"/>
      <w:marBottom w:val="0"/>
      <w:divBdr>
        <w:top w:val="none" w:sz="0" w:space="0" w:color="auto"/>
        <w:left w:val="none" w:sz="0" w:space="0" w:color="auto"/>
        <w:bottom w:val="none" w:sz="0" w:space="0" w:color="auto"/>
        <w:right w:val="none" w:sz="0" w:space="0" w:color="auto"/>
      </w:divBdr>
    </w:div>
    <w:div w:id="2075657368">
      <w:bodyDiv w:val="1"/>
      <w:marLeft w:val="0"/>
      <w:marRight w:val="0"/>
      <w:marTop w:val="0"/>
      <w:marBottom w:val="0"/>
      <w:divBdr>
        <w:top w:val="none" w:sz="0" w:space="0" w:color="auto"/>
        <w:left w:val="none" w:sz="0" w:space="0" w:color="auto"/>
        <w:bottom w:val="none" w:sz="0" w:space="0" w:color="auto"/>
        <w:right w:val="none" w:sz="0" w:space="0" w:color="auto"/>
      </w:divBdr>
    </w:div>
    <w:div w:id="2082822071">
      <w:bodyDiv w:val="1"/>
      <w:marLeft w:val="0"/>
      <w:marRight w:val="0"/>
      <w:marTop w:val="0"/>
      <w:marBottom w:val="0"/>
      <w:divBdr>
        <w:top w:val="none" w:sz="0" w:space="0" w:color="auto"/>
        <w:left w:val="none" w:sz="0" w:space="0" w:color="auto"/>
        <w:bottom w:val="none" w:sz="0" w:space="0" w:color="auto"/>
        <w:right w:val="none" w:sz="0" w:space="0" w:color="auto"/>
      </w:divBdr>
      <w:divsChild>
        <w:div w:id="492263427">
          <w:marLeft w:val="0"/>
          <w:marRight w:val="0"/>
          <w:marTop w:val="0"/>
          <w:marBottom w:val="0"/>
          <w:divBdr>
            <w:top w:val="none" w:sz="0" w:space="0" w:color="auto"/>
            <w:left w:val="none" w:sz="0" w:space="0" w:color="auto"/>
            <w:bottom w:val="none" w:sz="0" w:space="0" w:color="auto"/>
            <w:right w:val="none" w:sz="0" w:space="0" w:color="auto"/>
          </w:divBdr>
          <w:divsChild>
            <w:div w:id="28992039">
              <w:marLeft w:val="0"/>
              <w:marRight w:val="0"/>
              <w:marTop w:val="0"/>
              <w:marBottom w:val="0"/>
              <w:divBdr>
                <w:top w:val="none" w:sz="0" w:space="0" w:color="auto"/>
                <w:left w:val="none" w:sz="0" w:space="0" w:color="auto"/>
                <w:bottom w:val="none" w:sz="0" w:space="0" w:color="auto"/>
                <w:right w:val="none" w:sz="0" w:space="0" w:color="auto"/>
              </w:divBdr>
              <w:divsChild>
                <w:div w:id="1752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402">
      <w:bodyDiv w:val="1"/>
      <w:marLeft w:val="0"/>
      <w:marRight w:val="0"/>
      <w:marTop w:val="0"/>
      <w:marBottom w:val="0"/>
      <w:divBdr>
        <w:top w:val="none" w:sz="0" w:space="0" w:color="auto"/>
        <w:left w:val="none" w:sz="0" w:space="0" w:color="auto"/>
        <w:bottom w:val="none" w:sz="0" w:space="0" w:color="auto"/>
        <w:right w:val="none" w:sz="0" w:space="0" w:color="auto"/>
      </w:divBdr>
    </w:div>
    <w:div w:id="2118018067">
      <w:bodyDiv w:val="1"/>
      <w:marLeft w:val="0"/>
      <w:marRight w:val="0"/>
      <w:marTop w:val="0"/>
      <w:marBottom w:val="0"/>
      <w:divBdr>
        <w:top w:val="none" w:sz="0" w:space="0" w:color="auto"/>
        <w:left w:val="none" w:sz="0" w:space="0" w:color="auto"/>
        <w:bottom w:val="none" w:sz="0" w:space="0" w:color="auto"/>
        <w:right w:val="none" w:sz="0" w:space="0" w:color="auto"/>
      </w:divBdr>
    </w:div>
    <w:div w:id="2121296800">
      <w:bodyDiv w:val="1"/>
      <w:marLeft w:val="0"/>
      <w:marRight w:val="0"/>
      <w:marTop w:val="0"/>
      <w:marBottom w:val="0"/>
      <w:divBdr>
        <w:top w:val="none" w:sz="0" w:space="0" w:color="auto"/>
        <w:left w:val="none" w:sz="0" w:space="0" w:color="auto"/>
        <w:bottom w:val="none" w:sz="0" w:space="0" w:color="auto"/>
        <w:right w:val="none" w:sz="0" w:space="0" w:color="auto"/>
      </w:divBdr>
    </w:div>
    <w:div w:id="2130053020">
      <w:bodyDiv w:val="1"/>
      <w:marLeft w:val="0"/>
      <w:marRight w:val="0"/>
      <w:marTop w:val="0"/>
      <w:marBottom w:val="0"/>
      <w:divBdr>
        <w:top w:val="none" w:sz="0" w:space="0" w:color="auto"/>
        <w:left w:val="none" w:sz="0" w:space="0" w:color="auto"/>
        <w:bottom w:val="none" w:sz="0" w:space="0" w:color="auto"/>
        <w:right w:val="none" w:sz="0" w:space="0" w:color="auto"/>
      </w:divBdr>
    </w:div>
    <w:div w:id="2134902871">
      <w:bodyDiv w:val="1"/>
      <w:marLeft w:val="0"/>
      <w:marRight w:val="0"/>
      <w:marTop w:val="0"/>
      <w:marBottom w:val="0"/>
      <w:divBdr>
        <w:top w:val="none" w:sz="0" w:space="0" w:color="auto"/>
        <w:left w:val="none" w:sz="0" w:space="0" w:color="auto"/>
        <w:bottom w:val="none" w:sz="0" w:space="0" w:color="auto"/>
        <w:right w:val="none" w:sz="0" w:space="0" w:color="auto"/>
      </w:divBdr>
    </w:div>
    <w:div w:id="2139764392">
      <w:bodyDiv w:val="1"/>
      <w:marLeft w:val="0"/>
      <w:marRight w:val="0"/>
      <w:marTop w:val="0"/>
      <w:marBottom w:val="0"/>
      <w:divBdr>
        <w:top w:val="none" w:sz="0" w:space="0" w:color="auto"/>
        <w:left w:val="none" w:sz="0" w:space="0" w:color="auto"/>
        <w:bottom w:val="none" w:sz="0" w:space="0" w:color="auto"/>
        <w:right w:val="none" w:sz="0" w:space="0" w:color="auto"/>
      </w:divBdr>
    </w:div>
    <w:div w:id="2145199190">
      <w:bodyDiv w:val="1"/>
      <w:marLeft w:val="0"/>
      <w:marRight w:val="0"/>
      <w:marTop w:val="0"/>
      <w:marBottom w:val="0"/>
      <w:divBdr>
        <w:top w:val="none" w:sz="0" w:space="0" w:color="auto"/>
        <w:left w:val="none" w:sz="0" w:space="0" w:color="auto"/>
        <w:bottom w:val="none" w:sz="0" w:space="0" w:color="auto"/>
        <w:right w:val="none" w:sz="0" w:space="0" w:color="auto"/>
      </w:divBdr>
      <w:divsChild>
        <w:div w:id="387844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ques.developpement-durable.gouv.fr/les-passoires-energetiques-du-parc-locatif-prive-au-1er-janvier-2022-0" TargetMode="External"/><Relationship Id="rId2" Type="http://schemas.openxmlformats.org/officeDocument/2006/relationships/hyperlink" Target="https://www.citepa.org/fr/secten/" TargetMode="External"/><Relationship Id="rId1" Type="http://schemas.openxmlformats.org/officeDocument/2006/relationships/hyperlink" Target="https://www.citepa.org/fr/2023_05_a08/" TargetMode="External"/><Relationship Id="rId6" Type="http://schemas.openxmlformats.org/officeDocument/2006/relationships/hyperlink" Target="https://www.oecd-ilibrary.org/sites/346c3272-fr/index.html?itemId=/content/component/346c3272-fr" TargetMode="External"/><Relationship Id="rId5" Type="http://schemas.openxmlformats.org/officeDocument/2006/relationships/hyperlink" Target="https://www.citepa.org/fr/secten/" TargetMode="External"/><Relationship Id="rId4" Type="http://schemas.openxmlformats.org/officeDocument/2006/relationships/hyperlink" Target="https://onpe.org/sites/default/files/chiffres_cles_2022_s2.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F75C-7155-D64B-99EC-09AECE64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4474</TotalTime>
  <Pages>33</Pages>
  <Words>13424</Words>
  <Characters>73836</Characters>
  <Application>Microsoft Office Word</Application>
  <DocSecurity>0</DocSecurity>
  <Lines>615</Lines>
  <Paragraphs>174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ADS RS</vt:lpstr>
      <vt:lpstr>    REQUÊTE SOMMAIRE</vt:lpstr>
    </vt:vector>
  </TitlesOfParts>
  <Manager/>
  <Company/>
  <LinksUpToDate>false</LinksUpToDate>
  <CharactersWithSpaces>87086</CharactersWithSpaces>
  <SharedDoc>false</SharedDoc>
  <HyperlinkBase/>
  <HLinks>
    <vt:vector size="102" baseType="variant">
      <vt:variant>
        <vt:i4>8126566</vt:i4>
      </vt:variant>
      <vt:variant>
        <vt:i4>48</vt:i4>
      </vt:variant>
      <vt:variant>
        <vt:i4>0</vt:i4>
      </vt:variant>
      <vt:variant>
        <vt:i4>5</vt:i4>
      </vt:variant>
      <vt:variant>
        <vt:lpwstr>https://www.lesechos.fr/monde/enjeux-internationaux/0600274996127-degats-climatiques-la-france-en-premiere-ligne-en-europe-2227385.php</vt:lpwstr>
      </vt:variant>
      <vt:variant>
        <vt:lpwstr/>
      </vt:variant>
      <vt:variant>
        <vt:i4>196656</vt:i4>
      </vt:variant>
      <vt:variant>
        <vt:i4>45</vt:i4>
      </vt:variant>
      <vt:variant>
        <vt:i4>0</vt:i4>
      </vt:variant>
      <vt:variant>
        <vt:i4>5</vt:i4>
      </vt:variant>
      <vt:variant>
        <vt:lpwstr>https://www.germanwatch.org/sites/germanwatch.org/files/Global Climate Risk Index 2019_2.pdf</vt:lpwstr>
      </vt:variant>
      <vt:variant>
        <vt:lpwstr/>
      </vt:variant>
      <vt:variant>
        <vt:i4>4325428</vt:i4>
      </vt:variant>
      <vt:variant>
        <vt:i4>42</vt:i4>
      </vt:variant>
      <vt:variant>
        <vt:i4>0</vt:i4>
      </vt:variant>
      <vt:variant>
        <vt:i4>5</vt:i4>
      </vt:variant>
      <vt:variant>
        <vt:lpwstr>http://invs.santepubliquefrance.fr/beh/2018/19-20/pdf/2018_19-20.pdf</vt:lpwstr>
      </vt:variant>
      <vt:variant>
        <vt:lpwstr/>
      </vt:variant>
      <vt:variant>
        <vt:i4>8192059</vt:i4>
      </vt:variant>
      <vt:variant>
        <vt:i4>39</vt:i4>
      </vt:variant>
      <vt:variant>
        <vt:i4>0</vt:i4>
      </vt:variant>
      <vt:variant>
        <vt:i4>5</vt:i4>
      </vt:variant>
      <vt:variant>
        <vt:lpwstr>https://royalsocietypublishing.org/doi/full/10.1098/rstb.2013.0554</vt:lpwstr>
      </vt:variant>
      <vt:variant>
        <vt:lpwstr/>
      </vt:variant>
      <vt:variant>
        <vt:i4>6488162</vt:i4>
      </vt:variant>
      <vt:variant>
        <vt:i4>36</vt:i4>
      </vt:variant>
      <vt:variant>
        <vt:i4>0</vt:i4>
      </vt:variant>
      <vt:variant>
        <vt:i4>5</vt:i4>
      </vt:variant>
      <vt:variant>
        <vt:lpwstr>https://www.gouvernement.fr/risques/pollution-de-l-air</vt:lpwstr>
      </vt:variant>
      <vt:variant>
        <vt:lpwstr/>
      </vt:variant>
      <vt:variant>
        <vt:i4>2031701</vt:i4>
      </vt:variant>
      <vt:variant>
        <vt:i4>33</vt:i4>
      </vt:variant>
      <vt:variant>
        <vt:i4>0</vt:i4>
      </vt:variant>
      <vt:variant>
        <vt:i4>5</vt:i4>
      </vt:variant>
      <vt:variant>
        <vt:lpwstr>https://www.lemonde.fr/planete/article/2018/09/17/ouragans-typhons-des-phenomenes-aggraves-par-le-rechauffement-climatique_5356170_3244.html</vt:lpwstr>
      </vt:variant>
      <vt:variant>
        <vt:lpwstr/>
      </vt:variant>
      <vt:variant>
        <vt:i4>1835010</vt:i4>
      </vt:variant>
      <vt:variant>
        <vt:i4>30</vt:i4>
      </vt:variant>
      <vt:variant>
        <vt:i4>0</vt:i4>
      </vt:variant>
      <vt:variant>
        <vt:i4>5</vt:i4>
      </vt:variant>
      <vt:variant>
        <vt:lpwstr>http://www.ird.fr/toute-l-actualite/actualites-scientifiques/vers-une-intensification-des-pluies-extremes-dans-le-sud-de-l-europe</vt:lpwstr>
      </vt:variant>
      <vt:variant>
        <vt:lpwstr/>
      </vt:variant>
      <vt:variant>
        <vt:i4>5963853</vt:i4>
      </vt:variant>
      <vt:variant>
        <vt:i4>27</vt:i4>
      </vt:variant>
      <vt:variant>
        <vt:i4>0</vt:i4>
      </vt:variant>
      <vt:variant>
        <vt:i4>5</vt:i4>
      </vt:variant>
      <vt:variant>
        <vt:lpwstr>http://www.meteofrance.fr/climat-passe-et-futur/impacts-du-changement-climatique-sur-les-phenomenes-hydrometeorologiques/changement-climatique-et-episodes-mediterraneens</vt:lpwstr>
      </vt:variant>
      <vt:variant>
        <vt:lpwstr/>
      </vt:variant>
      <vt:variant>
        <vt:i4>458829</vt:i4>
      </vt:variant>
      <vt:variant>
        <vt:i4>24</vt:i4>
      </vt:variant>
      <vt:variant>
        <vt:i4>0</vt:i4>
      </vt:variant>
      <vt:variant>
        <vt:i4>5</vt:i4>
      </vt:variant>
      <vt:variant>
        <vt:lpwstr>http://www.meteofrance.fr/climat-passe-et-futur/impacts-du-changement-climatique-sur-les-phenomenes-hydrometeorologiques/changement-climatique-et-feux-de-forets</vt:lpwstr>
      </vt:variant>
      <vt:variant>
        <vt:lpwstr/>
      </vt:variant>
      <vt:variant>
        <vt:i4>4390933</vt:i4>
      </vt:variant>
      <vt:variant>
        <vt:i4>21</vt:i4>
      </vt:variant>
      <vt:variant>
        <vt:i4>0</vt:i4>
      </vt:variant>
      <vt:variant>
        <vt:i4>5</vt:i4>
      </vt:variant>
      <vt:variant>
        <vt:lpwstr>http://www.meteofrance.fr/climat-passe-et-futur/impacts-du-changement-climatique-sur-les-phenomenes-hydrometeorologiques/changement-climatique-et-secheresses</vt:lpwstr>
      </vt:variant>
      <vt:variant>
        <vt:lpwstr/>
      </vt:variant>
      <vt:variant>
        <vt:i4>1179686</vt:i4>
      </vt:variant>
      <vt:variant>
        <vt:i4>18</vt:i4>
      </vt:variant>
      <vt:variant>
        <vt:i4>0</vt:i4>
      </vt:variant>
      <vt:variant>
        <vt:i4>5</vt:i4>
      </vt:variant>
      <vt:variant>
        <vt:lpwstr>https://solidarites-sante.gouv.fr/IMG/pdf/180921_-_cp_-_bilan_canicule.pdf</vt:lpwstr>
      </vt:variant>
      <vt:variant>
        <vt:lpwstr/>
      </vt:variant>
      <vt:variant>
        <vt:i4>4522002</vt:i4>
      </vt:variant>
      <vt:variant>
        <vt:i4>15</vt:i4>
      </vt:variant>
      <vt:variant>
        <vt:i4>0</vt:i4>
      </vt:variant>
      <vt:variant>
        <vt:i4>5</vt:i4>
      </vt:variant>
      <vt:variant>
        <vt:lpwstr>http://www.encyclopedie-environnement.org/sante/changement-climatique-effets-sante-de-lhomme/</vt:lpwstr>
      </vt:variant>
      <vt:variant>
        <vt:lpwstr/>
      </vt:variant>
      <vt:variant>
        <vt:i4>7864416</vt:i4>
      </vt:variant>
      <vt:variant>
        <vt:i4>12</vt:i4>
      </vt:variant>
      <vt:variant>
        <vt:i4>0</vt:i4>
      </vt:variant>
      <vt:variant>
        <vt:i4>5</vt:i4>
      </vt:variant>
      <vt:variant>
        <vt:lpwstr>http://invs.santepubliquefrance.fr/beh/2018/16-17/pdf/2018_16-17_1.pdf</vt:lpwstr>
      </vt:variant>
      <vt:variant>
        <vt:lpwstr/>
      </vt:variant>
      <vt:variant>
        <vt:i4>3080233</vt:i4>
      </vt:variant>
      <vt:variant>
        <vt:i4>9</vt:i4>
      </vt:variant>
      <vt:variant>
        <vt:i4>0</vt:i4>
      </vt:variant>
      <vt:variant>
        <vt:i4>5</vt:i4>
      </vt:variant>
      <vt:variant>
        <vt:lpwstr>http://www.meteofrance.fr/actualites/65448060-2018-2e-ete-le-plus-chaud</vt:lpwstr>
      </vt:variant>
      <vt:variant>
        <vt:lpwstr/>
      </vt:variant>
      <vt:variant>
        <vt:i4>5832720</vt:i4>
      </vt:variant>
      <vt:variant>
        <vt:i4>6</vt:i4>
      </vt:variant>
      <vt:variant>
        <vt:i4>0</vt:i4>
      </vt:variant>
      <vt:variant>
        <vt:i4>5</vt:i4>
      </vt:variant>
      <vt:variant>
        <vt:lpwstr>http://invs.santepubliquefrance.fr/Dossiers-thematiques/Environnement-et-sante/Climat-et-sante/Chaleur-et-sante/Actualites/Archives/Bilan-national-canicule-ete-2017</vt:lpwstr>
      </vt:variant>
      <vt:variant>
        <vt:lpwstr/>
      </vt:variant>
      <vt:variant>
        <vt:i4>3276916</vt:i4>
      </vt:variant>
      <vt:variant>
        <vt:i4>3</vt:i4>
      </vt:variant>
      <vt:variant>
        <vt:i4>0</vt:i4>
      </vt:variant>
      <vt:variant>
        <vt:i4>5</vt:i4>
      </vt:variant>
      <vt:variant>
        <vt:lpwstr>http://www.meteofrance.fr/climat-passe-et-futur/impacts-du-changement-climatique-sur-les-phenomenes-hydrometeorologiques/changement-climatique-et-canicules</vt:lpwstr>
      </vt:variant>
      <vt:variant>
        <vt:lpwstr/>
      </vt:variant>
      <vt:variant>
        <vt:i4>5898325</vt:i4>
      </vt:variant>
      <vt:variant>
        <vt:i4>0</vt:i4>
      </vt:variant>
      <vt:variant>
        <vt:i4>0</vt:i4>
      </vt:variant>
      <vt:variant>
        <vt:i4>5</vt:i4>
      </vt:variant>
      <vt:variant>
        <vt:lpwstr>http://www.meteofrance.fr/climat-passe-et-futur/impacts-du-changement-climatique-sur-les-phenomenes-hydrometeorologiques/changement-climatique-et-hausse-du-niveau-de-la-mer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RS</dc:title>
  <dc:subject/>
  <dc:creator>CCA</dc:creator>
  <cp:keywords/>
  <dc:description/>
  <cp:lastModifiedBy>CCA</cp:lastModifiedBy>
  <cp:revision>182</cp:revision>
  <cp:lastPrinted>2023-05-24T14:51:00Z</cp:lastPrinted>
  <dcterms:created xsi:type="dcterms:W3CDTF">2019-12-12T11:19:00Z</dcterms:created>
  <dcterms:modified xsi:type="dcterms:W3CDTF">2023-06-13T19:23:00Z</dcterms:modified>
  <cp:category/>
</cp:coreProperties>
</file>